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10152" w:type="dxa"/>
        <w:tblInd w:w="18" w:type="dxa"/>
        <w:tblLayout w:type="fixed"/>
        <w:tblCellMar>
          <w:top w:w="43" w:type="dxa"/>
          <w:left w:w="72" w:type="dxa"/>
          <w:bottom w:w="43" w:type="dxa"/>
          <w:right w:w="72" w:type="dxa"/>
        </w:tblCellMar>
        <w:tblLook w:val="0000" w:firstRow="0" w:lastRow="0" w:firstColumn="0" w:lastColumn="0" w:noHBand="0" w:noVBand="0"/>
      </w:tblPr>
      <w:tblGrid>
        <w:gridCol w:w="6732"/>
        <w:gridCol w:w="3420"/>
      </w:tblGrid>
      <w:tr w:rsidR="00877418" w:rsidRPr="0085125D" w:rsidTr="00854EC7">
        <w:trPr>
          <w:cantSplit/>
          <w:trHeight w:val="1649"/>
        </w:trPr>
        <w:tc>
          <w:tcPr>
            <w:tcW w:w="6732" w:type="dxa"/>
          </w:tcPr>
          <w:p w:rsidR="00877418" w:rsidRPr="0085125D" w:rsidRDefault="00F31FA1" w:rsidP="006E1647">
            <w:pPr>
              <w:rPr>
                <w:sz w:val="22"/>
                <w:szCs w:val="22"/>
              </w:rPr>
            </w:pPr>
            <w:r w:rsidRPr="0085125D">
              <w:rPr>
                <w:sz w:val="22"/>
                <w:szCs w:val="22"/>
              </w:rPr>
              <w:t>City of Jacksonville</w:t>
            </w:r>
          </w:p>
          <w:p w:rsidR="0085125D" w:rsidRPr="0085125D" w:rsidRDefault="0085125D" w:rsidP="006E1647">
            <w:pPr>
              <w:rPr>
                <w:sz w:val="22"/>
                <w:szCs w:val="22"/>
              </w:rPr>
            </w:pPr>
            <w:r w:rsidRPr="0085125D">
              <w:rPr>
                <w:sz w:val="22"/>
                <w:szCs w:val="22"/>
              </w:rPr>
              <w:t>Public Works Department</w:t>
            </w:r>
          </w:p>
          <w:p w:rsidR="00877418" w:rsidRPr="0085125D" w:rsidRDefault="0085125D" w:rsidP="006E1647">
            <w:pPr>
              <w:rPr>
                <w:sz w:val="22"/>
                <w:szCs w:val="22"/>
              </w:rPr>
            </w:pPr>
            <w:r w:rsidRPr="0085125D">
              <w:rPr>
                <w:sz w:val="22"/>
                <w:szCs w:val="22"/>
              </w:rPr>
              <w:t>117 West Duval Street, Suite 400</w:t>
            </w:r>
          </w:p>
          <w:p w:rsidR="00877418" w:rsidRPr="0085125D" w:rsidRDefault="0085125D" w:rsidP="006E1647">
            <w:pPr>
              <w:tabs>
                <w:tab w:val="center" w:pos="3168"/>
                <w:tab w:val="left" w:pos="3240"/>
                <w:tab w:val="left" w:pos="3615"/>
              </w:tabs>
              <w:rPr>
                <w:sz w:val="22"/>
                <w:szCs w:val="22"/>
              </w:rPr>
            </w:pPr>
            <w:r w:rsidRPr="0085125D">
              <w:rPr>
                <w:sz w:val="22"/>
                <w:szCs w:val="22"/>
              </w:rPr>
              <w:t>Jacksonville</w:t>
            </w:r>
            <w:r w:rsidR="008F02D5" w:rsidRPr="0085125D">
              <w:rPr>
                <w:sz w:val="22"/>
                <w:szCs w:val="22"/>
              </w:rPr>
              <w:t xml:space="preserve">, </w:t>
            </w:r>
            <w:r w:rsidRPr="0085125D">
              <w:rPr>
                <w:sz w:val="22"/>
                <w:szCs w:val="22"/>
              </w:rPr>
              <w:t>Florida  32202</w:t>
            </w:r>
          </w:p>
          <w:p w:rsidR="002C1D42" w:rsidRPr="0085125D" w:rsidRDefault="002C1D42" w:rsidP="006E1647">
            <w:pPr>
              <w:rPr>
                <w:i/>
                <w:sz w:val="22"/>
                <w:szCs w:val="22"/>
              </w:rPr>
            </w:pPr>
          </w:p>
          <w:p w:rsidR="00877418" w:rsidRPr="0085125D" w:rsidRDefault="00877418" w:rsidP="006E1647">
            <w:pPr>
              <w:rPr>
                <w:sz w:val="22"/>
                <w:szCs w:val="22"/>
              </w:rPr>
            </w:pPr>
            <w:r w:rsidRPr="0085125D">
              <w:rPr>
                <w:sz w:val="22"/>
                <w:szCs w:val="22"/>
              </w:rPr>
              <w:t>Authorized Representative:</w:t>
            </w:r>
          </w:p>
          <w:p w:rsidR="00877418" w:rsidRPr="0085125D" w:rsidRDefault="00F31FA1" w:rsidP="006E1647">
            <w:pPr>
              <w:ind w:left="360"/>
              <w:rPr>
                <w:sz w:val="22"/>
                <w:szCs w:val="22"/>
              </w:rPr>
            </w:pPr>
            <w:r w:rsidRPr="0085125D">
              <w:rPr>
                <w:sz w:val="22"/>
                <w:szCs w:val="22"/>
              </w:rPr>
              <w:t>Cleveland Ferguson, Deputy Chief Administrative Officer</w:t>
            </w:r>
          </w:p>
        </w:tc>
        <w:tc>
          <w:tcPr>
            <w:tcW w:w="3420" w:type="dxa"/>
          </w:tcPr>
          <w:p w:rsidR="00877418" w:rsidRDefault="00877418" w:rsidP="006E1647">
            <w:pPr>
              <w:rPr>
                <w:sz w:val="22"/>
                <w:szCs w:val="22"/>
              </w:rPr>
            </w:pPr>
            <w:r w:rsidRPr="0085125D">
              <w:rPr>
                <w:sz w:val="22"/>
                <w:szCs w:val="22"/>
              </w:rPr>
              <w:t xml:space="preserve">Air Permit No. </w:t>
            </w:r>
            <w:r w:rsidR="00F31FA1" w:rsidRPr="0085125D">
              <w:rPr>
                <w:sz w:val="22"/>
                <w:szCs w:val="22"/>
              </w:rPr>
              <w:t>0310358-014</w:t>
            </w:r>
            <w:r w:rsidRPr="0085125D">
              <w:rPr>
                <w:sz w:val="22"/>
                <w:szCs w:val="22"/>
              </w:rPr>
              <w:t>-AC</w:t>
            </w:r>
          </w:p>
          <w:p w:rsidR="000D1107" w:rsidRPr="0085125D" w:rsidRDefault="00CA5213" w:rsidP="00CA5213">
            <w:pPr>
              <w:ind w:left="216"/>
              <w:rPr>
                <w:sz w:val="22"/>
                <w:szCs w:val="22"/>
              </w:rPr>
            </w:pPr>
            <w:r>
              <w:rPr>
                <w:sz w:val="22"/>
                <w:szCs w:val="22"/>
              </w:rPr>
              <w:t xml:space="preserve">and </w:t>
            </w:r>
            <w:r w:rsidR="000D1107">
              <w:rPr>
                <w:sz w:val="22"/>
                <w:szCs w:val="22"/>
              </w:rPr>
              <w:t>PSD-FL-374D</w:t>
            </w:r>
          </w:p>
          <w:p w:rsidR="00877418" w:rsidRPr="0085125D" w:rsidRDefault="00877418" w:rsidP="006E1647">
            <w:pPr>
              <w:rPr>
                <w:sz w:val="22"/>
                <w:szCs w:val="22"/>
              </w:rPr>
            </w:pPr>
            <w:r w:rsidRPr="0085125D">
              <w:rPr>
                <w:sz w:val="22"/>
                <w:szCs w:val="22"/>
              </w:rPr>
              <w:t xml:space="preserve">Permit Expires:  </w:t>
            </w:r>
            <w:r w:rsidR="00627859">
              <w:rPr>
                <w:sz w:val="22"/>
                <w:szCs w:val="22"/>
              </w:rPr>
              <w:t>January 13, 2015</w:t>
            </w:r>
          </w:p>
          <w:p w:rsidR="008E3E31" w:rsidRPr="0085125D" w:rsidRDefault="008E3E31" w:rsidP="008E3E31">
            <w:pPr>
              <w:rPr>
                <w:sz w:val="22"/>
                <w:szCs w:val="22"/>
              </w:rPr>
            </w:pPr>
            <w:r w:rsidRPr="0085125D">
              <w:rPr>
                <w:sz w:val="22"/>
                <w:szCs w:val="22"/>
              </w:rPr>
              <w:t>Minor Air Construction Permit</w:t>
            </w:r>
          </w:p>
          <w:p w:rsidR="00AC66EA" w:rsidRPr="0085125D" w:rsidRDefault="00AC66EA" w:rsidP="00AC66EA">
            <w:pPr>
              <w:rPr>
                <w:sz w:val="22"/>
                <w:szCs w:val="22"/>
                <w:highlight w:val="yellow"/>
              </w:rPr>
            </w:pPr>
          </w:p>
          <w:p w:rsidR="00AC66EA" w:rsidRPr="0085125D" w:rsidRDefault="00F31FA1" w:rsidP="00AC66EA">
            <w:pPr>
              <w:rPr>
                <w:sz w:val="22"/>
                <w:szCs w:val="22"/>
              </w:rPr>
            </w:pPr>
            <w:r w:rsidRPr="0085125D">
              <w:rPr>
                <w:sz w:val="22"/>
                <w:szCs w:val="22"/>
              </w:rPr>
              <w:t>Trail Ridge Landfill</w:t>
            </w:r>
          </w:p>
          <w:p w:rsidR="00877418" w:rsidRPr="0085125D" w:rsidRDefault="0085125D" w:rsidP="006E1647">
            <w:pPr>
              <w:rPr>
                <w:b/>
                <w:bCs/>
                <w:sz w:val="22"/>
                <w:szCs w:val="22"/>
              </w:rPr>
            </w:pPr>
            <w:r w:rsidRPr="0085125D">
              <w:rPr>
                <w:rStyle w:val="PageNumber"/>
                <w:sz w:val="22"/>
                <w:szCs w:val="22"/>
              </w:rPr>
              <w:t>Miscellaneous Revisions</w:t>
            </w:r>
          </w:p>
        </w:tc>
      </w:tr>
    </w:tbl>
    <w:p w:rsidR="004C73A6" w:rsidRPr="000472DA" w:rsidRDefault="00925934" w:rsidP="00B970C5">
      <w:pPr>
        <w:pStyle w:val="Caption"/>
        <w:spacing w:before="120"/>
        <w:rPr>
          <w:szCs w:val="22"/>
        </w:rPr>
      </w:pPr>
      <w:r>
        <w:rPr>
          <w:szCs w:val="22"/>
        </w:rPr>
        <w:t>Project</w:t>
      </w:r>
    </w:p>
    <w:p w:rsidR="00047F18" w:rsidRPr="00F31FA1" w:rsidRDefault="00047F18" w:rsidP="00F62EFE">
      <w:pPr>
        <w:spacing w:after="120"/>
        <w:rPr>
          <w:sz w:val="22"/>
          <w:szCs w:val="22"/>
        </w:rPr>
      </w:pPr>
      <w:r w:rsidRPr="00F31FA1">
        <w:rPr>
          <w:sz w:val="22"/>
          <w:szCs w:val="22"/>
        </w:rPr>
        <w:t>This is the final air construction permit, which authorizes</w:t>
      </w:r>
      <w:r w:rsidR="004C73A6" w:rsidRPr="00F31FA1">
        <w:rPr>
          <w:sz w:val="22"/>
          <w:szCs w:val="22"/>
        </w:rPr>
        <w:t xml:space="preserve"> </w:t>
      </w:r>
      <w:r w:rsidR="00D8246C">
        <w:rPr>
          <w:sz w:val="22"/>
          <w:szCs w:val="22"/>
        </w:rPr>
        <w:t>the removal of Emissions Units 012 through 015,</w:t>
      </w:r>
      <w:r w:rsidR="00D8246C" w:rsidRPr="002D4960">
        <w:rPr>
          <w:sz w:val="22"/>
          <w:szCs w:val="22"/>
        </w:rPr>
        <w:t xml:space="preserve"> found in </w:t>
      </w:r>
      <w:r w:rsidR="00D8246C">
        <w:rPr>
          <w:sz w:val="22"/>
          <w:szCs w:val="22"/>
        </w:rPr>
        <w:t>permit 0310358-012</w:t>
      </w:r>
      <w:r w:rsidR="00D8246C" w:rsidRPr="00746205">
        <w:rPr>
          <w:sz w:val="22"/>
          <w:szCs w:val="22"/>
        </w:rPr>
        <w:t>-AC</w:t>
      </w:r>
      <w:r w:rsidR="00D8246C">
        <w:rPr>
          <w:sz w:val="22"/>
          <w:szCs w:val="22"/>
        </w:rPr>
        <w:t xml:space="preserve"> /</w:t>
      </w:r>
      <w:r w:rsidR="00D8246C" w:rsidRPr="002D4960">
        <w:rPr>
          <w:sz w:val="22"/>
          <w:szCs w:val="22"/>
        </w:rPr>
        <w:t xml:space="preserve"> </w:t>
      </w:r>
      <w:r w:rsidR="00D8246C">
        <w:rPr>
          <w:sz w:val="22"/>
          <w:szCs w:val="22"/>
        </w:rPr>
        <w:t>PSD-FL-374C</w:t>
      </w:r>
      <w:r w:rsidR="00D8246C" w:rsidRPr="002D4960">
        <w:rPr>
          <w:sz w:val="22"/>
          <w:szCs w:val="22"/>
        </w:rPr>
        <w:t>.</w:t>
      </w:r>
      <w:r w:rsidR="00D8246C">
        <w:rPr>
          <w:sz w:val="22"/>
          <w:szCs w:val="22"/>
        </w:rPr>
        <w:t xml:space="preserve">  These emissions units will not be constructed.</w:t>
      </w:r>
      <w:r w:rsidR="004C73A6" w:rsidRPr="00F31FA1">
        <w:rPr>
          <w:sz w:val="22"/>
          <w:szCs w:val="22"/>
        </w:rPr>
        <w:t xml:space="preserve">  </w:t>
      </w:r>
      <w:r w:rsidR="002C1D42" w:rsidRPr="00F31FA1">
        <w:rPr>
          <w:sz w:val="22"/>
          <w:szCs w:val="22"/>
        </w:rPr>
        <w:t>The proposed w</w:t>
      </w:r>
      <w:r w:rsidR="001E6B3A" w:rsidRPr="00F31FA1">
        <w:rPr>
          <w:sz w:val="22"/>
          <w:szCs w:val="22"/>
        </w:rPr>
        <w:t xml:space="preserve">ork </w:t>
      </w:r>
      <w:r w:rsidR="000472DA" w:rsidRPr="00F31FA1">
        <w:rPr>
          <w:sz w:val="22"/>
          <w:szCs w:val="22"/>
        </w:rPr>
        <w:t xml:space="preserve">will </w:t>
      </w:r>
      <w:r w:rsidR="001E6B3A" w:rsidRPr="00F31FA1">
        <w:rPr>
          <w:sz w:val="22"/>
          <w:szCs w:val="22"/>
        </w:rPr>
        <w:t xml:space="preserve">be conducted </w:t>
      </w:r>
      <w:r w:rsidR="000472DA" w:rsidRPr="00F31FA1">
        <w:rPr>
          <w:sz w:val="22"/>
          <w:szCs w:val="22"/>
        </w:rPr>
        <w:t xml:space="preserve">at the </w:t>
      </w:r>
      <w:r w:rsidR="00193EC2" w:rsidRPr="00F31FA1">
        <w:rPr>
          <w:sz w:val="22"/>
          <w:szCs w:val="22"/>
        </w:rPr>
        <w:t xml:space="preserve">existing </w:t>
      </w:r>
      <w:r w:rsidR="00F31FA1" w:rsidRPr="00F31FA1">
        <w:rPr>
          <w:sz w:val="22"/>
          <w:szCs w:val="22"/>
        </w:rPr>
        <w:t>Trail Ridge Landfill</w:t>
      </w:r>
      <w:r w:rsidR="000472DA" w:rsidRPr="00F31FA1">
        <w:rPr>
          <w:sz w:val="22"/>
          <w:szCs w:val="22"/>
        </w:rPr>
        <w:t xml:space="preserve">, which is a </w:t>
      </w:r>
      <w:r w:rsidR="00F62EFE">
        <w:rPr>
          <w:sz w:val="22"/>
          <w:szCs w:val="22"/>
        </w:rPr>
        <w:t>Municipal Solid Waste Landfill</w:t>
      </w:r>
      <w:r w:rsidR="000472DA" w:rsidRPr="00F31FA1">
        <w:rPr>
          <w:sz w:val="22"/>
          <w:szCs w:val="22"/>
        </w:rPr>
        <w:t xml:space="preserve"> </w:t>
      </w:r>
      <w:r w:rsidR="00193EC2" w:rsidRPr="00F31FA1">
        <w:rPr>
          <w:sz w:val="22"/>
          <w:szCs w:val="22"/>
        </w:rPr>
        <w:t xml:space="preserve">categorized under </w:t>
      </w:r>
      <w:r w:rsidR="00E130E6" w:rsidRPr="00F31FA1">
        <w:rPr>
          <w:sz w:val="22"/>
          <w:szCs w:val="22"/>
        </w:rPr>
        <w:t xml:space="preserve">Standard Industrial Classification </w:t>
      </w:r>
      <w:r w:rsidR="000472DA" w:rsidRPr="00F31FA1">
        <w:rPr>
          <w:sz w:val="22"/>
          <w:szCs w:val="22"/>
        </w:rPr>
        <w:t xml:space="preserve">No. </w:t>
      </w:r>
      <w:r w:rsidR="00F62EFE">
        <w:rPr>
          <w:sz w:val="22"/>
          <w:szCs w:val="22"/>
        </w:rPr>
        <w:t>4953</w:t>
      </w:r>
      <w:r w:rsidR="000472DA" w:rsidRPr="00F31FA1">
        <w:rPr>
          <w:sz w:val="22"/>
          <w:szCs w:val="22"/>
        </w:rPr>
        <w:t>.</w:t>
      </w:r>
      <w:r w:rsidR="00AC66EA" w:rsidRPr="00F31FA1">
        <w:rPr>
          <w:sz w:val="22"/>
          <w:szCs w:val="22"/>
        </w:rPr>
        <w:t xml:space="preserve"> </w:t>
      </w:r>
      <w:r w:rsidR="00EE24EB" w:rsidRPr="00F31FA1">
        <w:rPr>
          <w:sz w:val="22"/>
          <w:szCs w:val="22"/>
        </w:rPr>
        <w:t xml:space="preserve"> </w:t>
      </w:r>
      <w:r w:rsidR="004C73A6" w:rsidRPr="00F31FA1">
        <w:rPr>
          <w:sz w:val="22"/>
          <w:szCs w:val="22"/>
        </w:rPr>
        <w:t xml:space="preserve">The </w:t>
      </w:r>
      <w:r w:rsidR="00193EC2" w:rsidRPr="00F31FA1">
        <w:rPr>
          <w:sz w:val="22"/>
          <w:szCs w:val="22"/>
        </w:rPr>
        <w:t xml:space="preserve">existing </w:t>
      </w:r>
      <w:r w:rsidR="000472DA" w:rsidRPr="00F31FA1">
        <w:rPr>
          <w:sz w:val="22"/>
          <w:szCs w:val="22"/>
        </w:rPr>
        <w:t xml:space="preserve">facility </w:t>
      </w:r>
      <w:r w:rsidR="00193EC2" w:rsidRPr="00F31FA1">
        <w:rPr>
          <w:sz w:val="22"/>
          <w:szCs w:val="22"/>
        </w:rPr>
        <w:t xml:space="preserve">is </w:t>
      </w:r>
      <w:r w:rsidR="000472DA" w:rsidRPr="00F31FA1">
        <w:rPr>
          <w:sz w:val="22"/>
          <w:szCs w:val="22"/>
        </w:rPr>
        <w:t xml:space="preserve">located </w:t>
      </w:r>
      <w:r w:rsidR="002C1D42" w:rsidRPr="00F31FA1">
        <w:rPr>
          <w:sz w:val="22"/>
          <w:szCs w:val="22"/>
        </w:rPr>
        <w:t xml:space="preserve">in </w:t>
      </w:r>
      <w:r w:rsidR="00F31FA1">
        <w:rPr>
          <w:sz w:val="22"/>
          <w:szCs w:val="22"/>
        </w:rPr>
        <w:t>Duval</w:t>
      </w:r>
      <w:r w:rsidR="00FD475D" w:rsidRPr="00F31FA1">
        <w:rPr>
          <w:sz w:val="22"/>
          <w:szCs w:val="22"/>
        </w:rPr>
        <w:t xml:space="preserve"> </w:t>
      </w:r>
      <w:r w:rsidR="002C1D42" w:rsidRPr="00F31FA1">
        <w:rPr>
          <w:sz w:val="22"/>
          <w:szCs w:val="22"/>
        </w:rPr>
        <w:t xml:space="preserve">County </w:t>
      </w:r>
      <w:r w:rsidR="000472DA" w:rsidRPr="00F31FA1">
        <w:rPr>
          <w:sz w:val="22"/>
          <w:szCs w:val="22"/>
        </w:rPr>
        <w:t xml:space="preserve">at </w:t>
      </w:r>
      <w:r w:rsidR="00F31FA1">
        <w:rPr>
          <w:sz w:val="22"/>
          <w:szCs w:val="22"/>
        </w:rPr>
        <w:t>5110 U. S. Highway 301 South</w:t>
      </w:r>
      <w:r w:rsidR="005F5435" w:rsidRPr="00F31FA1">
        <w:rPr>
          <w:sz w:val="22"/>
          <w:szCs w:val="22"/>
        </w:rPr>
        <w:t xml:space="preserve"> </w:t>
      </w:r>
      <w:r w:rsidR="000472DA" w:rsidRPr="00F31FA1">
        <w:rPr>
          <w:sz w:val="22"/>
          <w:szCs w:val="22"/>
        </w:rPr>
        <w:t>in</w:t>
      </w:r>
      <w:r w:rsidR="002C1D42" w:rsidRPr="00F31FA1">
        <w:rPr>
          <w:sz w:val="22"/>
          <w:szCs w:val="22"/>
        </w:rPr>
        <w:t xml:space="preserve"> </w:t>
      </w:r>
      <w:r w:rsidR="00F31FA1">
        <w:rPr>
          <w:sz w:val="22"/>
          <w:szCs w:val="22"/>
        </w:rPr>
        <w:t>Baldwin</w:t>
      </w:r>
      <w:r w:rsidR="000472DA" w:rsidRPr="00F31FA1">
        <w:rPr>
          <w:sz w:val="22"/>
          <w:szCs w:val="22"/>
        </w:rPr>
        <w:t xml:space="preserve">, </w:t>
      </w:r>
      <w:r w:rsidR="00FD475D" w:rsidRPr="00F31FA1">
        <w:rPr>
          <w:sz w:val="22"/>
          <w:szCs w:val="22"/>
        </w:rPr>
        <w:t>Florida</w:t>
      </w:r>
      <w:r w:rsidR="000472DA" w:rsidRPr="00F31FA1">
        <w:rPr>
          <w:sz w:val="22"/>
          <w:szCs w:val="22"/>
        </w:rPr>
        <w:t xml:space="preserve">.  The UTM coordinates are Zone </w:t>
      </w:r>
      <w:r w:rsidR="00F62EFE">
        <w:rPr>
          <w:sz w:val="22"/>
          <w:szCs w:val="22"/>
        </w:rPr>
        <w:t>17</w:t>
      </w:r>
      <w:r w:rsidR="000472DA" w:rsidRPr="00F31FA1">
        <w:rPr>
          <w:sz w:val="22"/>
          <w:szCs w:val="22"/>
        </w:rPr>
        <w:t xml:space="preserve">, </w:t>
      </w:r>
      <w:r w:rsidR="00F62EFE" w:rsidRPr="00D131BC">
        <w:rPr>
          <w:sz w:val="22"/>
          <w:szCs w:val="22"/>
        </w:rPr>
        <w:t xml:space="preserve">399.765 </w:t>
      </w:r>
      <w:r w:rsidR="000472DA" w:rsidRPr="00F31FA1">
        <w:rPr>
          <w:sz w:val="22"/>
          <w:szCs w:val="22"/>
        </w:rPr>
        <w:t xml:space="preserve">km East and </w:t>
      </w:r>
      <w:r w:rsidR="00F62EFE" w:rsidRPr="00D131BC">
        <w:rPr>
          <w:sz w:val="22"/>
          <w:szCs w:val="22"/>
        </w:rPr>
        <w:t xml:space="preserve">3344.919 </w:t>
      </w:r>
      <w:r w:rsidR="000472DA" w:rsidRPr="00F31FA1">
        <w:rPr>
          <w:sz w:val="22"/>
          <w:szCs w:val="22"/>
        </w:rPr>
        <w:t xml:space="preserve">km </w:t>
      </w:r>
      <w:proofErr w:type="gramStart"/>
      <w:r w:rsidR="000472DA" w:rsidRPr="00F31FA1">
        <w:rPr>
          <w:sz w:val="22"/>
          <w:szCs w:val="22"/>
        </w:rPr>
        <w:t>North</w:t>
      </w:r>
      <w:proofErr w:type="gramEnd"/>
      <w:r w:rsidR="000472DA" w:rsidRPr="00F31FA1">
        <w:rPr>
          <w:sz w:val="22"/>
          <w:szCs w:val="22"/>
        </w:rPr>
        <w:t xml:space="preserve">.  </w:t>
      </w:r>
    </w:p>
    <w:p w:rsidR="00047F18" w:rsidRPr="00854EC7" w:rsidRDefault="00047F18" w:rsidP="00047F18">
      <w:pPr>
        <w:pStyle w:val="BodyText3"/>
        <w:jc w:val="left"/>
        <w:rPr>
          <w:szCs w:val="22"/>
        </w:rPr>
      </w:pPr>
      <w:r w:rsidRPr="00F31FA1">
        <w:rPr>
          <w:szCs w:val="22"/>
        </w:rPr>
        <w:t xml:space="preserve">This final permit is organized </w:t>
      </w:r>
      <w:r w:rsidR="007578FD" w:rsidRPr="00F31FA1">
        <w:rPr>
          <w:szCs w:val="22"/>
        </w:rPr>
        <w:t>into</w:t>
      </w:r>
      <w:r w:rsidRPr="00F31FA1">
        <w:rPr>
          <w:szCs w:val="22"/>
        </w:rPr>
        <w:t xml:space="preserve"> the following sections:  Section 1 (General Information)</w:t>
      </w:r>
      <w:r w:rsidR="00587FC8">
        <w:rPr>
          <w:szCs w:val="22"/>
        </w:rPr>
        <w:t xml:space="preserve"> and</w:t>
      </w:r>
      <w:r w:rsidRPr="00F31FA1">
        <w:rPr>
          <w:szCs w:val="22"/>
        </w:rPr>
        <w:t xml:space="preserve"> Section 2 (</w:t>
      </w:r>
      <w:r w:rsidR="00587FC8">
        <w:rPr>
          <w:szCs w:val="22"/>
        </w:rPr>
        <w:t>Permit Revisions)</w:t>
      </w:r>
      <w:r>
        <w:rPr>
          <w:szCs w:val="22"/>
        </w:rPr>
        <w:t>.</w:t>
      </w:r>
      <w:r w:rsidRPr="00047F18">
        <w:rPr>
          <w:szCs w:val="22"/>
        </w:rPr>
        <w:t xml:space="preserve"> </w:t>
      </w:r>
      <w:r>
        <w:rPr>
          <w:szCs w:val="22"/>
        </w:rPr>
        <w:t xml:space="preserve"> </w:t>
      </w:r>
      <w:r w:rsidRPr="00854EC7">
        <w:rPr>
          <w:szCs w:val="22"/>
        </w:rPr>
        <w:t xml:space="preserve">As noted in the Final Determination provided with this final permit, </w:t>
      </w:r>
      <w:r w:rsidR="00587FC8">
        <w:rPr>
          <w:szCs w:val="22"/>
        </w:rPr>
        <w:t>only minor</w:t>
      </w:r>
      <w:bookmarkStart w:id="0" w:name="_GoBack"/>
      <w:bookmarkEnd w:id="0"/>
      <w:r w:rsidRPr="00854EC7">
        <w:rPr>
          <w:szCs w:val="22"/>
        </w:rPr>
        <w:t xml:space="preserve"> clarifications were made to the draft permit.</w:t>
      </w:r>
    </w:p>
    <w:p w:rsidR="00925934" w:rsidRPr="00692695" w:rsidRDefault="00925934" w:rsidP="00B970C5">
      <w:pPr>
        <w:spacing w:after="120"/>
        <w:rPr>
          <w:b/>
          <w:caps/>
          <w:sz w:val="22"/>
          <w:szCs w:val="22"/>
        </w:rPr>
      </w:pPr>
      <w:r w:rsidRPr="00854EC7">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D6C4B" w:rsidRDefault="006D6C4B" w:rsidP="006D6C4B">
      <w:pPr>
        <w:ind w:left="4320"/>
        <w:rPr>
          <w:sz w:val="22"/>
          <w:szCs w:val="22"/>
        </w:rPr>
      </w:pPr>
      <w:r>
        <w:rPr>
          <w:sz w:val="22"/>
          <w:szCs w:val="22"/>
        </w:rPr>
        <w:t>Executed in Tallahassee, Florida</w:t>
      </w:r>
    </w:p>
    <w:p w:rsidR="006D6C4B" w:rsidRDefault="006D6C4B" w:rsidP="003F3906">
      <w:pPr>
        <w:spacing w:after="120"/>
        <w:ind w:left="4320"/>
        <w:rPr>
          <w:sz w:val="22"/>
          <w:szCs w:val="22"/>
        </w:rPr>
      </w:pPr>
    </w:p>
    <w:p w:rsidR="00132B8F" w:rsidRDefault="00132B8F" w:rsidP="003F3906">
      <w:pPr>
        <w:spacing w:after="120"/>
        <w:ind w:left="4320"/>
        <w:rPr>
          <w:sz w:val="22"/>
          <w:szCs w:val="22"/>
        </w:rPr>
      </w:pPr>
    </w:p>
    <w:p w:rsidR="00132B8F" w:rsidRDefault="00132B8F" w:rsidP="00132B8F">
      <w:pPr>
        <w:pBdr>
          <w:bottom w:val="single" w:sz="4" w:space="1" w:color="auto"/>
        </w:pBdr>
        <w:ind w:left="4320" w:right="1836"/>
        <w:rPr>
          <w:sz w:val="22"/>
          <w:szCs w:val="22"/>
        </w:rPr>
      </w:pPr>
    </w:p>
    <w:p w:rsidR="00132B8F" w:rsidRPr="009B54ED" w:rsidRDefault="00132B8F" w:rsidP="00132B8F">
      <w:pPr>
        <w:widowControl w:val="0"/>
        <w:tabs>
          <w:tab w:val="left" w:pos="4320"/>
          <w:tab w:val="left" w:pos="7200"/>
          <w:tab w:val="left" w:pos="8910"/>
          <w:tab w:val="left" w:pos="9360"/>
        </w:tabs>
        <w:ind w:left="4320" w:hanging="360"/>
        <w:rPr>
          <w:sz w:val="22"/>
          <w:szCs w:val="22"/>
        </w:rPr>
      </w:pPr>
      <w:proofErr w:type="gramStart"/>
      <w:r w:rsidRPr="005B531C">
        <w:rPr>
          <w:i/>
          <w:sz w:val="22"/>
          <w:szCs w:val="22"/>
        </w:rPr>
        <w:t>for</w:t>
      </w:r>
      <w:proofErr w:type="gramEnd"/>
      <w:r>
        <w:rPr>
          <w:sz w:val="22"/>
          <w:szCs w:val="22"/>
        </w:rPr>
        <w:tab/>
      </w:r>
      <w:r w:rsidRPr="00885F02">
        <w:rPr>
          <w:sz w:val="22"/>
          <w:szCs w:val="22"/>
        </w:rPr>
        <w:t>Jeffery F. Koerner, Program Administrator</w:t>
      </w:r>
    </w:p>
    <w:p w:rsidR="00132B8F" w:rsidRPr="00885F02" w:rsidRDefault="00132B8F" w:rsidP="00132B8F">
      <w:pPr>
        <w:tabs>
          <w:tab w:val="left" w:pos="3600"/>
          <w:tab w:val="left" w:pos="4320"/>
        </w:tabs>
        <w:ind w:left="4320"/>
        <w:jc w:val="both"/>
        <w:rPr>
          <w:sz w:val="22"/>
          <w:szCs w:val="22"/>
        </w:rPr>
      </w:pPr>
      <w:r w:rsidRPr="00885F02">
        <w:rPr>
          <w:sz w:val="22"/>
          <w:szCs w:val="22"/>
        </w:rPr>
        <w:t>Office of Permitting and Compliance</w:t>
      </w:r>
    </w:p>
    <w:p w:rsidR="00132B8F" w:rsidRPr="00885F02" w:rsidRDefault="00132B8F" w:rsidP="00132B8F">
      <w:pPr>
        <w:tabs>
          <w:tab w:val="left" w:pos="3600"/>
          <w:tab w:val="left" w:pos="4320"/>
        </w:tabs>
        <w:ind w:left="4320"/>
        <w:jc w:val="both"/>
        <w:rPr>
          <w:sz w:val="22"/>
          <w:szCs w:val="22"/>
        </w:rPr>
      </w:pPr>
      <w:r w:rsidRPr="00885F02">
        <w:rPr>
          <w:sz w:val="22"/>
          <w:szCs w:val="22"/>
        </w:rPr>
        <w:t>Division of Air Resource Management</w:t>
      </w:r>
    </w:p>
    <w:p w:rsidR="00132B8F" w:rsidRDefault="00132B8F" w:rsidP="00132B8F">
      <w:pPr>
        <w:keepNext/>
        <w:ind w:left="4320"/>
        <w:rPr>
          <w:sz w:val="22"/>
          <w:szCs w:val="22"/>
          <w:u w:val="single"/>
        </w:rPr>
      </w:pPr>
    </w:p>
    <w:p w:rsidR="00132B8F" w:rsidRDefault="00854EC7" w:rsidP="006E1647">
      <w:pPr>
        <w:rPr>
          <w:b/>
          <w:caps/>
          <w:sz w:val="22"/>
          <w:szCs w:val="22"/>
        </w:rPr>
      </w:pPr>
      <w:r>
        <w:rPr>
          <w:sz w:val="22"/>
          <w:szCs w:val="22"/>
        </w:rPr>
        <w:t>JFK</w:t>
      </w:r>
      <w:r w:rsidRPr="00DD6666">
        <w:rPr>
          <w:sz w:val="22"/>
          <w:szCs w:val="22"/>
        </w:rPr>
        <w:t>/</w:t>
      </w:r>
      <w:r>
        <w:rPr>
          <w:sz w:val="22"/>
          <w:szCs w:val="22"/>
        </w:rPr>
        <w:t>dr/</w:t>
      </w:r>
      <w:proofErr w:type="spellStart"/>
      <w:r>
        <w:rPr>
          <w:sz w:val="22"/>
          <w:szCs w:val="22"/>
        </w:rPr>
        <w:t>ejs</w:t>
      </w:r>
      <w:proofErr w:type="spellEnd"/>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77B3B" w:rsidRDefault="00B77B3B" w:rsidP="009C56BB">
      <w:pPr>
        <w:widowControl w:val="0"/>
        <w:tabs>
          <w:tab w:val="left" w:pos="-720"/>
          <w:tab w:val="left" w:pos="4320"/>
        </w:tabs>
        <w:outlineLvl w:val="0"/>
        <w:rPr>
          <w:sz w:val="22"/>
          <w:szCs w:val="22"/>
        </w:rPr>
      </w:pPr>
      <w:r>
        <w:rPr>
          <w:sz w:val="22"/>
          <w:szCs w:val="22"/>
        </w:rPr>
        <w:t>Mr. Cleveland Ferguson, City of Jacksonville (</w:t>
      </w:r>
      <w:hyperlink r:id="rId12" w:history="1">
        <w:r w:rsidRPr="00B626EB">
          <w:rPr>
            <w:rStyle w:val="Hyperlink"/>
            <w:sz w:val="22"/>
            <w:szCs w:val="22"/>
          </w:rPr>
          <w:t>cferguson@coj.net</w:t>
        </w:r>
      </w:hyperlink>
      <w:r>
        <w:rPr>
          <w:sz w:val="22"/>
          <w:szCs w:val="22"/>
        </w:rPr>
        <w:t>)</w:t>
      </w:r>
    </w:p>
    <w:p w:rsidR="009C56BB" w:rsidRPr="00B77B3B" w:rsidRDefault="00B77B3B" w:rsidP="009C56BB">
      <w:pPr>
        <w:widowControl w:val="0"/>
        <w:tabs>
          <w:tab w:val="left" w:pos="-720"/>
          <w:tab w:val="left" w:pos="4320"/>
        </w:tabs>
        <w:outlineLvl w:val="0"/>
        <w:rPr>
          <w:sz w:val="22"/>
          <w:szCs w:val="22"/>
        </w:rPr>
      </w:pPr>
      <w:r>
        <w:rPr>
          <w:sz w:val="22"/>
          <w:szCs w:val="22"/>
        </w:rPr>
        <w:t>Mr. Max Lee, PhD, PE, Koogler and Associates (</w:t>
      </w:r>
      <w:hyperlink r:id="rId13" w:history="1">
        <w:r w:rsidRPr="00B626EB">
          <w:rPr>
            <w:rStyle w:val="Hyperlink"/>
            <w:sz w:val="22"/>
            <w:szCs w:val="22"/>
          </w:rPr>
          <w:t>mlee@kooglerassociates.com</w:t>
        </w:r>
      </w:hyperlink>
      <w:r>
        <w:rPr>
          <w:sz w:val="22"/>
          <w:szCs w:val="22"/>
        </w:rPr>
        <w:t>)</w:t>
      </w:r>
    </w:p>
    <w:p w:rsidR="009C56BB" w:rsidRPr="000C5035" w:rsidRDefault="00B77B3B" w:rsidP="009C56BB">
      <w:pPr>
        <w:widowControl w:val="0"/>
        <w:tabs>
          <w:tab w:val="left" w:pos="-720"/>
          <w:tab w:val="left" w:pos="4320"/>
        </w:tabs>
        <w:outlineLvl w:val="0"/>
        <w:rPr>
          <w:sz w:val="22"/>
          <w:szCs w:val="22"/>
          <w:highlight w:val="yellow"/>
        </w:rPr>
      </w:pPr>
      <w:r>
        <w:rPr>
          <w:sz w:val="22"/>
          <w:szCs w:val="22"/>
        </w:rPr>
        <w:t>Mr. Richard Rachal</w:t>
      </w:r>
      <w:r w:rsidR="009C56BB" w:rsidRPr="00B77B3B">
        <w:rPr>
          <w:sz w:val="22"/>
          <w:szCs w:val="22"/>
        </w:rPr>
        <w:t xml:space="preserve">, </w:t>
      </w:r>
      <w:r>
        <w:rPr>
          <w:sz w:val="22"/>
          <w:szCs w:val="22"/>
        </w:rPr>
        <w:t xml:space="preserve">Northeast </w:t>
      </w:r>
      <w:r w:rsidR="009C56BB" w:rsidRPr="00B77B3B">
        <w:rPr>
          <w:sz w:val="22"/>
          <w:szCs w:val="22"/>
        </w:rPr>
        <w:t>District Office (</w:t>
      </w:r>
      <w:hyperlink r:id="rId14" w:history="1">
        <w:r w:rsidRPr="00B626EB">
          <w:rPr>
            <w:rStyle w:val="Hyperlink"/>
            <w:sz w:val="22"/>
            <w:szCs w:val="22"/>
          </w:rPr>
          <w:t>richard.rachal@dep.state.fl.us</w:t>
        </w:r>
      </w:hyperlink>
      <w:r w:rsidR="009C56BB" w:rsidRPr="00B77B3B">
        <w:rPr>
          <w:sz w:val="22"/>
          <w:szCs w:val="22"/>
        </w:rPr>
        <w:t>)</w:t>
      </w:r>
    </w:p>
    <w:p w:rsidR="009C56BB" w:rsidRPr="00B77B3B" w:rsidRDefault="009C56BB" w:rsidP="009C56BB">
      <w:pPr>
        <w:widowControl w:val="0"/>
        <w:tabs>
          <w:tab w:val="left" w:pos="-720"/>
          <w:tab w:val="left" w:pos="4320"/>
        </w:tabs>
        <w:outlineLvl w:val="0"/>
        <w:rPr>
          <w:sz w:val="22"/>
          <w:szCs w:val="22"/>
        </w:rPr>
      </w:pPr>
      <w:r w:rsidRPr="00B77B3B">
        <w:rPr>
          <w:sz w:val="22"/>
          <w:szCs w:val="22"/>
        </w:rPr>
        <w:t xml:space="preserve">Ms. </w:t>
      </w:r>
      <w:r w:rsidR="00B77B3B">
        <w:rPr>
          <w:sz w:val="22"/>
          <w:szCs w:val="22"/>
        </w:rPr>
        <w:t>Lorinda Shepherd</w:t>
      </w:r>
      <w:r w:rsidRPr="00B77B3B">
        <w:rPr>
          <w:sz w:val="22"/>
          <w:szCs w:val="22"/>
        </w:rPr>
        <w:t>, EPA Region 4 (</w:t>
      </w:r>
      <w:hyperlink r:id="rId15" w:history="1">
        <w:r w:rsidR="00B77B3B" w:rsidRPr="00B626EB">
          <w:rPr>
            <w:rStyle w:val="Hyperlink"/>
            <w:sz w:val="22"/>
            <w:szCs w:val="22"/>
          </w:rPr>
          <w:t>shepherd.lorinda@epa.gov</w:t>
        </w:r>
      </w:hyperlink>
      <w:r w:rsidRPr="00B77B3B">
        <w:rPr>
          <w:sz w:val="22"/>
          <w:szCs w:val="22"/>
        </w:rPr>
        <w:t>)</w:t>
      </w:r>
    </w:p>
    <w:p w:rsidR="009C56BB" w:rsidRPr="000C08BB" w:rsidRDefault="000C08BB" w:rsidP="009C56BB">
      <w:pPr>
        <w:widowControl w:val="0"/>
        <w:tabs>
          <w:tab w:val="left" w:pos="-720"/>
          <w:tab w:val="left" w:pos="4320"/>
        </w:tabs>
        <w:outlineLvl w:val="0"/>
        <w:rPr>
          <w:sz w:val="22"/>
          <w:szCs w:val="22"/>
        </w:rPr>
      </w:pPr>
      <w:r w:rsidRPr="00D16E51">
        <w:rPr>
          <w:sz w:val="22"/>
          <w:szCs w:val="22"/>
        </w:rPr>
        <w:t>Ms. Heather Ceron, US EPA Region 4 (</w:t>
      </w:r>
      <w:hyperlink r:id="rId16" w:history="1">
        <w:r w:rsidRPr="00D16E51">
          <w:rPr>
            <w:rStyle w:val="Hyperlink"/>
            <w:sz w:val="22"/>
            <w:szCs w:val="22"/>
          </w:rPr>
          <w:t>ceron.heather@epa.gov</w:t>
        </w:r>
      </w:hyperlink>
      <w:r w:rsidRPr="00D16E51">
        <w:rPr>
          <w:rStyle w:val="Hyperlink"/>
          <w:sz w:val="22"/>
          <w:szCs w:val="22"/>
        </w:rPr>
        <w:t>)</w:t>
      </w:r>
    </w:p>
    <w:p w:rsidR="009C56BB" w:rsidRDefault="009C56BB" w:rsidP="009C56BB">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854EC7" w:rsidRPr="00854EC7" w:rsidRDefault="00854EC7" w:rsidP="00854EC7">
      <w:pPr>
        <w:tabs>
          <w:tab w:val="left" w:pos="821"/>
        </w:tabs>
        <w:rPr>
          <w:sz w:val="22"/>
          <w:szCs w:val="22"/>
        </w:rPr>
      </w:pPr>
      <w:r>
        <w:rPr>
          <w:sz w:val="22"/>
          <w:szCs w:val="22"/>
        </w:rPr>
        <w:tab/>
      </w:r>
    </w:p>
    <w:p w:rsidR="00854EC7" w:rsidRDefault="00854EC7" w:rsidP="00854EC7">
      <w:pPr>
        <w:rPr>
          <w:sz w:val="22"/>
          <w:szCs w:val="22"/>
        </w:rPr>
      </w:pPr>
    </w:p>
    <w:p w:rsidR="001023C1" w:rsidRPr="00854EC7" w:rsidRDefault="001023C1" w:rsidP="00854EC7">
      <w:pPr>
        <w:rPr>
          <w:sz w:val="22"/>
          <w:szCs w:val="22"/>
        </w:rPr>
        <w:sectPr w:rsidR="001023C1" w:rsidRPr="00854EC7" w:rsidSect="00193EC2">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rsidR="00701347" w:rsidRPr="00317A43" w:rsidRDefault="00701347" w:rsidP="00AC7968">
            <w:pPr>
              <w:rPr>
                <w:b/>
              </w:rPr>
            </w:pPr>
            <w:r w:rsidRPr="00317A43">
              <w:rPr>
                <w:b/>
                <w:szCs w:val="22"/>
              </w:rPr>
              <w:t xml:space="preserve">Facility ID No. </w:t>
            </w:r>
            <w:r w:rsidR="00AC7968">
              <w:rPr>
                <w:b/>
                <w:szCs w:val="22"/>
              </w:rPr>
              <w:t>0310358</w:t>
            </w:r>
          </w:p>
        </w:tc>
      </w:tr>
      <w:tr w:rsidR="004C73A6" w:rsidRPr="00877418" w:rsidTr="00854EC7">
        <w:tc>
          <w:tcPr>
            <w:tcW w:w="794" w:type="dxa"/>
            <w:tcBorders>
              <w:top w:val="single" w:sz="12" w:space="0" w:color="auto"/>
              <w:left w:val="single" w:sz="12" w:space="0" w:color="auto"/>
              <w:bottom w:val="single" w:sz="12" w:space="0" w:color="auto"/>
              <w:right w:val="single" w:sz="12" w:space="0" w:color="auto"/>
            </w:tcBorders>
          </w:tcPr>
          <w:p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12" w:space="0" w:color="auto"/>
              <w:right w:val="single" w:sz="12" w:space="0" w:color="auto"/>
            </w:tcBorders>
          </w:tcPr>
          <w:p w:rsidR="004C73A6" w:rsidRPr="00317A43" w:rsidRDefault="004C73A6" w:rsidP="00F165C3">
            <w:r w:rsidRPr="00317A43">
              <w:rPr>
                <w:b/>
              </w:rPr>
              <w:t>Emission Unit Description</w:t>
            </w:r>
          </w:p>
        </w:tc>
      </w:tr>
      <w:tr w:rsidR="00AC7968" w:rsidRPr="00877418" w:rsidTr="00854EC7">
        <w:tc>
          <w:tcPr>
            <w:tcW w:w="794" w:type="dxa"/>
            <w:tcBorders>
              <w:top w:val="single" w:sz="12" w:space="0" w:color="auto"/>
              <w:left w:val="single" w:sz="12" w:space="0" w:color="auto"/>
              <w:bottom w:val="single" w:sz="6" w:space="0" w:color="auto"/>
              <w:right w:val="single" w:sz="6" w:space="0" w:color="auto"/>
            </w:tcBorders>
          </w:tcPr>
          <w:p w:rsidR="00AC7968" w:rsidRPr="004F7AF0" w:rsidRDefault="00AC7968" w:rsidP="00AC7968">
            <w:pPr>
              <w:jc w:val="center"/>
            </w:pPr>
            <w:r w:rsidRPr="004F7AF0">
              <w:t>001</w:t>
            </w:r>
          </w:p>
        </w:tc>
        <w:tc>
          <w:tcPr>
            <w:tcW w:w="9236" w:type="dxa"/>
            <w:gridSpan w:val="2"/>
            <w:tcBorders>
              <w:top w:val="single" w:sz="12" w:space="0" w:color="auto"/>
              <w:left w:val="single" w:sz="6" w:space="0" w:color="auto"/>
              <w:bottom w:val="single" w:sz="6" w:space="0" w:color="auto"/>
              <w:right w:val="single" w:sz="12" w:space="0" w:color="auto"/>
            </w:tcBorders>
          </w:tcPr>
          <w:p w:rsidR="00AC7968" w:rsidRPr="004F7AF0" w:rsidRDefault="00AC7968" w:rsidP="00AC7968">
            <w:r w:rsidRPr="00267F05">
              <w:t>Municipal Solid Waste Landfill</w:t>
            </w:r>
          </w:p>
        </w:tc>
      </w:tr>
      <w:tr w:rsidR="00AC7968" w:rsidRPr="00877418" w:rsidTr="00854EC7">
        <w:tc>
          <w:tcPr>
            <w:tcW w:w="794" w:type="dxa"/>
            <w:tcBorders>
              <w:top w:val="single" w:sz="6" w:space="0" w:color="auto"/>
              <w:left w:val="single" w:sz="12" w:space="0" w:color="auto"/>
              <w:bottom w:val="single" w:sz="6" w:space="0" w:color="auto"/>
              <w:right w:val="single" w:sz="6" w:space="0" w:color="auto"/>
            </w:tcBorders>
            <w:vAlign w:val="center"/>
          </w:tcPr>
          <w:p w:rsidR="00AC7968" w:rsidRPr="00C431F7" w:rsidRDefault="00AC7968" w:rsidP="00AC7968">
            <w:pPr>
              <w:jc w:val="center"/>
              <w:rPr>
                <w:szCs w:val="22"/>
              </w:rPr>
            </w:pPr>
            <w:r>
              <w:rPr>
                <w:szCs w:val="22"/>
              </w:rPr>
              <w:t>004</w:t>
            </w:r>
          </w:p>
        </w:tc>
        <w:tc>
          <w:tcPr>
            <w:tcW w:w="9236" w:type="dxa"/>
            <w:gridSpan w:val="2"/>
            <w:tcBorders>
              <w:top w:val="single" w:sz="6" w:space="0" w:color="auto"/>
              <w:left w:val="single" w:sz="6" w:space="0" w:color="auto"/>
              <w:bottom w:val="single" w:sz="6" w:space="0" w:color="auto"/>
              <w:right w:val="single" w:sz="12" w:space="0" w:color="auto"/>
            </w:tcBorders>
          </w:tcPr>
          <w:p w:rsidR="00AC7968" w:rsidRPr="00C431F7" w:rsidRDefault="00AC7968" w:rsidP="00AC7968">
            <w:r>
              <w:t>Internal Combustion Engine (#1)</w:t>
            </w:r>
          </w:p>
        </w:tc>
      </w:tr>
      <w:tr w:rsidR="00AC7968" w:rsidRPr="00877418" w:rsidTr="00854EC7">
        <w:tc>
          <w:tcPr>
            <w:tcW w:w="794" w:type="dxa"/>
            <w:tcBorders>
              <w:top w:val="single" w:sz="6" w:space="0" w:color="auto"/>
              <w:left w:val="single" w:sz="12" w:space="0" w:color="auto"/>
              <w:bottom w:val="single" w:sz="6" w:space="0" w:color="auto"/>
              <w:right w:val="single" w:sz="6" w:space="0" w:color="auto"/>
            </w:tcBorders>
            <w:vAlign w:val="center"/>
          </w:tcPr>
          <w:p w:rsidR="00AC7968" w:rsidRPr="00C431F7" w:rsidRDefault="00AC7968" w:rsidP="00AC7968">
            <w:pPr>
              <w:jc w:val="center"/>
              <w:rPr>
                <w:szCs w:val="22"/>
              </w:rPr>
            </w:pPr>
            <w:r>
              <w:rPr>
                <w:szCs w:val="22"/>
              </w:rPr>
              <w:t>005</w:t>
            </w:r>
          </w:p>
        </w:tc>
        <w:tc>
          <w:tcPr>
            <w:tcW w:w="9236" w:type="dxa"/>
            <w:gridSpan w:val="2"/>
            <w:tcBorders>
              <w:top w:val="single" w:sz="6" w:space="0" w:color="auto"/>
              <w:left w:val="single" w:sz="6" w:space="0" w:color="auto"/>
              <w:bottom w:val="single" w:sz="6" w:space="0" w:color="auto"/>
              <w:right w:val="single" w:sz="12" w:space="0" w:color="auto"/>
            </w:tcBorders>
          </w:tcPr>
          <w:p w:rsidR="00AC7968" w:rsidRPr="00C431F7" w:rsidRDefault="00AC7968" w:rsidP="00AC7968">
            <w:r>
              <w:t>Internal Combustion Engine (#2)</w:t>
            </w:r>
          </w:p>
        </w:tc>
      </w:tr>
      <w:tr w:rsidR="00AC7968" w:rsidRPr="00877418" w:rsidTr="00854EC7">
        <w:tc>
          <w:tcPr>
            <w:tcW w:w="794" w:type="dxa"/>
            <w:tcBorders>
              <w:top w:val="single" w:sz="6" w:space="0" w:color="auto"/>
              <w:left w:val="single" w:sz="12" w:space="0" w:color="auto"/>
              <w:bottom w:val="single" w:sz="6" w:space="0" w:color="auto"/>
              <w:right w:val="single" w:sz="6" w:space="0" w:color="auto"/>
            </w:tcBorders>
            <w:vAlign w:val="center"/>
          </w:tcPr>
          <w:p w:rsidR="00AC7968" w:rsidRPr="00C431F7" w:rsidRDefault="00AC7968" w:rsidP="00AC7968">
            <w:pPr>
              <w:jc w:val="center"/>
              <w:rPr>
                <w:szCs w:val="22"/>
              </w:rPr>
            </w:pPr>
            <w:r>
              <w:rPr>
                <w:szCs w:val="22"/>
              </w:rPr>
              <w:t>006</w:t>
            </w:r>
          </w:p>
        </w:tc>
        <w:tc>
          <w:tcPr>
            <w:tcW w:w="9236" w:type="dxa"/>
            <w:gridSpan w:val="2"/>
            <w:tcBorders>
              <w:top w:val="single" w:sz="6" w:space="0" w:color="auto"/>
              <w:left w:val="single" w:sz="6" w:space="0" w:color="auto"/>
              <w:bottom w:val="single" w:sz="6" w:space="0" w:color="auto"/>
              <w:right w:val="single" w:sz="12" w:space="0" w:color="auto"/>
            </w:tcBorders>
          </w:tcPr>
          <w:p w:rsidR="00AC7968" w:rsidRPr="00C431F7" w:rsidRDefault="00AC7968" w:rsidP="00AC7968">
            <w:r>
              <w:t>Internal Combustion Engine (#3)</w:t>
            </w:r>
          </w:p>
        </w:tc>
      </w:tr>
      <w:tr w:rsidR="00AC7968" w:rsidRPr="00877418" w:rsidTr="00854EC7">
        <w:tc>
          <w:tcPr>
            <w:tcW w:w="794" w:type="dxa"/>
            <w:tcBorders>
              <w:top w:val="single" w:sz="6" w:space="0" w:color="auto"/>
              <w:left w:val="single" w:sz="12" w:space="0" w:color="auto"/>
              <w:bottom w:val="single" w:sz="6" w:space="0" w:color="auto"/>
              <w:right w:val="single" w:sz="6" w:space="0" w:color="auto"/>
            </w:tcBorders>
            <w:vAlign w:val="center"/>
          </w:tcPr>
          <w:p w:rsidR="00AC7968" w:rsidRPr="00C431F7" w:rsidRDefault="00AC7968" w:rsidP="00AC7968">
            <w:pPr>
              <w:jc w:val="center"/>
              <w:rPr>
                <w:szCs w:val="22"/>
              </w:rPr>
            </w:pPr>
            <w:r>
              <w:rPr>
                <w:szCs w:val="22"/>
              </w:rPr>
              <w:t>007</w:t>
            </w:r>
          </w:p>
        </w:tc>
        <w:tc>
          <w:tcPr>
            <w:tcW w:w="9236" w:type="dxa"/>
            <w:gridSpan w:val="2"/>
            <w:tcBorders>
              <w:top w:val="single" w:sz="6" w:space="0" w:color="auto"/>
              <w:left w:val="single" w:sz="6" w:space="0" w:color="auto"/>
              <w:bottom w:val="single" w:sz="6" w:space="0" w:color="auto"/>
              <w:right w:val="single" w:sz="12" w:space="0" w:color="auto"/>
            </w:tcBorders>
          </w:tcPr>
          <w:p w:rsidR="00AC7968" w:rsidRPr="00C431F7" w:rsidRDefault="00AC7968" w:rsidP="00AC7968">
            <w:r>
              <w:t>Internal Combustion Engine (#4)</w:t>
            </w:r>
          </w:p>
        </w:tc>
      </w:tr>
      <w:tr w:rsidR="00AC7968" w:rsidRPr="00877418" w:rsidTr="00854EC7">
        <w:tc>
          <w:tcPr>
            <w:tcW w:w="794" w:type="dxa"/>
            <w:tcBorders>
              <w:top w:val="single" w:sz="6" w:space="0" w:color="auto"/>
              <w:left w:val="single" w:sz="12" w:space="0" w:color="auto"/>
              <w:bottom w:val="single" w:sz="6" w:space="0" w:color="auto"/>
              <w:right w:val="single" w:sz="6" w:space="0" w:color="auto"/>
            </w:tcBorders>
            <w:vAlign w:val="center"/>
          </w:tcPr>
          <w:p w:rsidR="00AC7968" w:rsidRPr="00C431F7" w:rsidRDefault="00AC7968" w:rsidP="00AC7968">
            <w:pPr>
              <w:jc w:val="center"/>
              <w:rPr>
                <w:szCs w:val="22"/>
              </w:rPr>
            </w:pPr>
            <w:r>
              <w:rPr>
                <w:szCs w:val="22"/>
              </w:rPr>
              <w:t>008</w:t>
            </w:r>
          </w:p>
        </w:tc>
        <w:tc>
          <w:tcPr>
            <w:tcW w:w="9236" w:type="dxa"/>
            <w:gridSpan w:val="2"/>
            <w:tcBorders>
              <w:top w:val="single" w:sz="6" w:space="0" w:color="auto"/>
              <w:left w:val="single" w:sz="6" w:space="0" w:color="auto"/>
              <w:bottom w:val="single" w:sz="6" w:space="0" w:color="auto"/>
              <w:right w:val="single" w:sz="12" w:space="0" w:color="auto"/>
            </w:tcBorders>
          </w:tcPr>
          <w:p w:rsidR="00AC7968" w:rsidRPr="00C431F7" w:rsidRDefault="00AC7968" w:rsidP="00AC7968">
            <w:r>
              <w:t>Internal Combustion Engine (#5)</w:t>
            </w:r>
          </w:p>
        </w:tc>
      </w:tr>
      <w:tr w:rsidR="00AC7968" w:rsidRPr="00877418" w:rsidTr="00854EC7">
        <w:tc>
          <w:tcPr>
            <w:tcW w:w="794" w:type="dxa"/>
            <w:tcBorders>
              <w:top w:val="single" w:sz="6" w:space="0" w:color="auto"/>
              <w:left w:val="single" w:sz="12" w:space="0" w:color="auto"/>
              <w:bottom w:val="single" w:sz="6" w:space="0" w:color="auto"/>
              <w:right w:val="single" w:sz="6" w:space="0" w:color="auto"/>
            </w:tcBorders>
            <w:vAlign w:val="center"/>
          </w:tcPr>
          <w:p w:rsidR="00AC7968" w:rsidRPr="00C431F7" w:rsidRDefault="00AC7968" w:rsidP="00AC7968">
            <w:pPr>
              <w:jc w:val="center"/>
              <w:rPr>
                <w:szCs w:val="22"/>
              </w:rPr>
            </w:pPr>
            <w:r>
              <w:rPr>
                <w:szCs w:val="22"/>
              </w:rPr>
              <w:t>009</w:t>
            </w:r>
          </w:p>
        </w:tc>
        <w:tc>
          <w:tcPr>
            <w:tcW w:w="9236" w:type="dxa"/>
            <w:gridSpan w:val="2"/>
            <w:tcBorders>
              <w:top w:val="single" w:sz="6" w:space="0" w:color="auto"/>
              <w:left w:val="single" w:sz="6" w:space="0" w:color="auto"/>
              <w:bottom w:val="single" w:sz="6" w:space="0" w:color="auto"/>
              <w:right w:val="single" w:sz="12" w:space="0" w:color="auto"/>
            </w:tcBorders>
          </w:tcPr>
          <w:p w:rsidR="00AC7968" w:rsidRPr="00C431F7" w:rsidRDefault="00AC7968" w:rsidP="00AC7968">
            <w:r>
              <w:t>Internal Combustion Engine (#6)</w:t>
            </w:r>
          </w:p>
        </w:tc>
      </w:tr>
      <w:tr w:rsidR="00AC7968" w:rsidRPr="00877418" w:rsidTr="00854EC7">
        <w:tc>
          <w:tcPr>
            <w:tcW w:w="794" w:type="dxa"/>
            <w:tcBorders>
              <w:top w:val="single" w:sz="6" w:space="0" w:color="auto"/>
              <w:left w:val="single" w:sz="12" w:space="0" w:color="auto"/>
              <w:bottom w:val="single" w:sz="12" w:space="0" w:color="auto"/>
              <w:right w:val="single" w:sz="6" w:space="0" w:color="auto"/>
            </w:tcBorders>
            <w:vAlign w:val="center"/>
          </w:tcPr>
          <w:p w:rsidR="00AC7968" w:rsidRPr="00255B55" w:rsidRDefault="00AC7968" w:rsidP="00AC7968">
            <w:pPr>
              <w:jc w:val="center"/>
              <w:rPr>
                <w:szCs w:val="22"/>
              </w:rPr>
            </w:pPr>
            <w:r>
              <w:rPr>
                <w:szCs w:val="22"/>
              </w:rPr>
              <w:t>010</w:t>
            </w:r>
          </w:p>
        </w:tc>
        <w:tc>
          <w:tcPr>
            <w:tcW w:w="9236" w:type="dxa"/>
            <w:gridSpan w:val="2"/>
            <w:tcBorders>
              <w:top w:val="single" w:sz="6" w:space="0" w:color="auto"/>
              <w:left w:val="single" w:sz="6" w:space="0" w:color="auto"/>
              <w:bottom w:val="single" w:sz="12" w:space="0" w:color="auto"/>
              <w:right w:val="single" w:sz="12" w:space="0" w:color="auto"/>
            </w:tcBorders>
          </w:tcPr>
          <w:p w:rsidR="00AC7968" w:rsidRPr="00D075B0" w:rsidRDefault="00AC7968" w:rsidP="00AC7968">
            <w:pPr>
              <w:rPr>
                <w:szCs w:val="22"/>
              </w:rPr>
            </w:pPr>
            <w:r>
              <w:t>5,000 SCFM Open, Non-assisted Utility Flare</w:t>
            </w:r>
          </w:p>
        </w:tc>
      </w:tr>
    </w:tbl>
    <w:p w:rsidR="00F21526" w:rsidRPr="00E83FBF" w:rsidRDefault="00E01210" w:rsidP="00E01210">
      <w:pPr>
        <w:pStyle w:val="BodyText3"/>
        <w:numPr>
          <w:ilvl w:val="12"/>
          <w:numId w:val="0"/>
        </w:numPr>
        <w:spacing w:before="120"/>
        <w:jc w:val="left"/>
        <w:rPr>
          <w:b/>
          <w:szCs w:val="22"/>
        </w:rPr>
      </w:pPr>
      <w:r w:rsidRPr="00AC7968">
        <w:rPr>
          <w:b/>
          <w:szCs w:val="22"/>
        </w:rPr>
        <w:t>PROPOSED PROJECT</w:t>
      </w:r>
    </w:p>
    <w:p w:rsidR="00D8246C" w:rsidRPr="002D4960" w:rsidRDefault="00D8246C" w:rsidP="00D8246C">
      <w:pPr>
        <w:spacing w:after="120"/>
        <w:rPr>
          <w:sz w:val="22"/>
          <w:szCs w:val="22"/>
        </w:rPr>
      </w:pPr>
      <w:r w:rsidRPr="002D4960">
        <w:rPr>
          <w:sz w:val="22"/>
          <w:szCs w:val="22"/>
        </w:rPr>
        <w:t xml:space="preserve">As part of the project for the Title V air operation permit </w:t>
      </w:r>
      <w:r>
        <w:rPr>
          <w:sz w:val="22"/>
          <w:szCs w:val="22"/>
        </w:rPr>
        <w:t>renewal</w:t>
      </w:r>
      <w:r w:rsidRPr="002D4960">
        <w:rPr>
          <w:sz w:val="22"/>
          <w:szCs w:val="22"/>
        </w:rPr>
        <w:t xml:space="preserve"> (Project No. </w:t>
      </w:r>
      <w:r>
        <w:rPr>
          <w:sz w:val="22"/>
          <w:szCs w:val="22"/>
        </w:rPr>
        <w:t>0310358-015</w:t>
      </w:r>
      <w:r w:rsidRPr="002D4960">
        <w:rPr>
          <w:sz w:val="22"/>
          <w:szCs w:val="22"/>
        </w:rPr>
        <w:t xml:space="preserve">-AV), the applicant requested a concurrent air construction permit revision to </w:t>
      </w:r>
      <w:r>
        <w:rPr>
          <w:sz w:val="22"/>
          <w:szCs w:val="22"/>
        </w:rPr>
        <w:t>remove Emissions Units 012 through 015,</w:t>
      </w:r>
      <w:r w:rsidRPr="002D4960">
        <w:rPr>
          <w:sz w:val="22"/>
          <w:szCs w:val="22"/>
        </w:rPr>
        <w:t xml:space="preserve"> found in </w:t>
      </w:r>
      <w:r>
        <w:rPr>
          <w:sz w:val="22"/>
          <w:szCs w:val="22"/>
        </w:rPr>
        <w:t>permit 0310358-012</w:t>
      </w:r>
      <w:r w:rsidRPr="00746205">
        <w:rPr>
          <w:sz w:val="22"/>
          <w:szCs w:val="22"/>
        </w:rPr>
        <w:t>-AC</w:t>
      </w:r>
      <w:r>
        <w:rPr>
          <w:sz w:val="22"/>
          <w:szCs w:val="22"/>
        </w:rPr>
        <w:t xml:space="preserve"> /</w:t>
      </w:r>
      <w:r w:rsidRPr="002D4960">
        <w:rPr>
          <w:sz w:val="22"/>
          <w:szCs w:val="22"/>
        </w:rPr>
        <w:t xml:space="preserve"> </w:t>
      </w:r>
      <w:r>
        <w:rPr>
          <w:sz w:val="22"/>
          <w:szCs w:val="22"/>
        </w:rPr>
        <w:t>PSD-FL-374C</w:t>
      </w:r>
      <w:r w:rsidRPr="002D4960">
        <w:rPr>
          <w:sz w:val="22"/>
          <w:szCs w:val="22"/>
        </w:rPr>
        <w:t>.</w:t>
      </w:r>
      <w:r>
        <w:rPr>
          <w:sz w:val="22"/>
          <w:szCs w:val="22"/>
        </w:rPr>
        <w:t xml:space="preserve">  These emissions units will not be constructed.</w:t>
      </w:r>
    </w:p>
    <w:p w:rsidR="00B37EF7" w:rsidRPr="00B37EF7" w:rsidRDefault="00B37EF7" w:rsidP="00D44E2C">
      <w:pPr>
        <w:pStyle w:val="BodyText3"/>
        <w:numPr>
          <w:ilvl w:val="12"/>
          <w:numId w:val="0"/>
        </w:numPr>
        <w:jc w:val="left"/>
        <w:rPr>
          <w:szCs w:val="22"/>
        </w:rPr>
      </w:pPr>
      <w:r w:rsidRPr="00E83FBF">
        <w:rPr>
          <w:szCs w:val="22"/>
        </w:rPr>
        <w:t xml:space="preserve">This project </w:t>
      </w:r>
      <w:r w:rsidR="00E83FBF">
        <w:rPr>
          <w:szCs w:val="22"/>
        </w:rPr>
        <w:t xml:space="preserve">will </w:t>
      </w:r>
      <w:r w:rsidR="00E83FBF" w:rsidRPr="00AC7968">
        <w:rPr>
          <w:szCs w:val="22"/>
        </w:rPr>
        <w:t>modify</w:t>
      </w:r>
      <w:r w:rsidR="00E83FBF">
        <w:rPr>
          <w:szCs w:val="22"/>
        </w:rPr>
        <w:t xml:space="preserve"> </w:t>
      </w:r>
      <w:r w:rsidRPr="00E83FBF">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rsidTr="00611875">
        <w:trPr>
          <w:gridAfter w:val="1"/>
          <w:wAfter w:w="7470" w:type="dxa"/>
        </w:trPr>
        <w:tc>
          <w:tcPr>
            <w:tcW w:w="2560" w:type="dxa"/>
            <w:gridSpan w:val="2"/>
          </w:tcPr>
          <w:p w:rsidR="00701347" w:rsidRPr="00317A43" w:rsidRDefault="00701347" w:rsidP="00AC7968">
            <w:pPr>
              <w:rPr>
                <w:b/>
              </w:rPr>
            </w:pPr>
            <w:r w:rsidRPr="00317A43">
              <w:rPr>
                <w:b/>
                <w:szCs w:val="22"/>
              </w:rPr>
              <w:t xml:space="preserve">Facility ID No. </w:t>
            </w:r>
            <w:r w:rsidR="00AC7968">
              <w:rPr>
                <w:b/>
                <w:szCs w:val="22"/>
              </w:rPr>
              <w:t>0310358</w:t>
            </w:r>
          </w:p>
        </w:tc>
      </w:tr>
      <w:tr w:rsidR="00B37EF7" w:rsidRPr="00877418" w:rsidTr="00611875">
        <w:tc>
          <w:tcPr>
            <w:tcW w:w="794" w:type="dxa"/>
            <w:tcBorders>
              <w:bottom w:val="single" w:sz="12" w:space="0" w:color="auto"/>
            </w:tcBorders>
          </w:tcPr>
          <w:p w:rsidR="00B37EF7" w:rsidRPr="00317A43" w:rsidRDefault="00652D24" w:rsidP="00A54553">
            <w:pPr>
              <w:jc w:val="center"/>
              <w:rPr>
                <w:b/>
              </w:rPr>
            </w:pPr>
            <w:r w:rsidRPr="00317A43">
              <w:rPr>
                <w:b/>
              </w:rPr>
              <w:t>ID No.</w:t>
            </w:r>
          </w:p>
        </w:tc>
        <w:tc>
          <w:tcPr>
            <w:tcW w:w="9236" w:type="dxa"/>
            <w:gridSpan w:val="2"/>
            <w:tcBorders>
              <w:bottom w:val="single" w:sz="12" w:space="0" w:color="auto"/>
            </w:tcBorders>
          </w:tcPr>
          <w:p w:rsidR="00B37EF7" w:rsidRPr="00317A43" w:rsidRDefault="00B37EF7" w:rsidP="00F165C3">
            <w:r w:rsidRPr="00317A43">
              <w:rPr>
                <w:b/>
              </w:rPr>
              <w:t>Emission Unit Description</w:t>
            </w:r>
          </w:p>
        </w:tc>
      </w:tr>
      <w:tr w:rsidR="00AC7968" w:rsidRPr="00877418" w:rsidTr="007D60C0">
        <w:tc>
          <w:tcPr>
            <w:tcW w:w="794" w:type="dxa"/>
            <w:vAlign w:val="center"/>
          </w:tcPr>
          <w:p w:rsidR="00AC7968" w:rsidRPr="00C431F7" w:rsidRDefault="00AC7968" w:rsidP="00AC7968">
            <w:pPr>
              <w:jc w:val="center"/>
              <w:rPr>
                <w:szCs w:val="22"/>
              </w:rPr>
            </w:pPr>
            <w:r>
              <w:rPr>
                <w:szCs w:val="22"/>
              </w:rPr>
              <w:t>012</w:t>
            </w:r>
          </w:p>
        </w:tc>
        <w:tc>
          <w:tcPr>
            <w:tcW w:w="9236" w:type="dxa"/>
            <w:gridSpan w:val="2"/>
          </w:tcPr>
          <w:p w:rsidR="00AC7968" w:rsidRPr="00C431F7" w:rsidRDefault="00AC7968" w:rsidP="00D8246C">
            <w:r>
              <w:t>Internal Combustion Engine (#</w:t>
            </w:r>
            <w:r w:rsidR="00D8246C">
              <w:t>7</w:t>
            </w:r>
            <w:r>
              <w:t>)</w:t>
            </w:r>
          </w:p>
        </w:tc>
      </w:tr>
      <w:tr w:rsidR="00AC7968" w:rsidRPr="00877418" w:rsidTr="007D60C0">
        <w:tc>
          <w:tcPr>
            <w:tcW w:w="794" w:type="dxa"/>
            <w:vAlign w:val="center"/>
          </w:tcPr>
          <w:p w:rsidR="00AC7968" w:rsidRPr="00C431F7" w:rsidRDefault="00AC7968" w:rsidP="00AC7968">
            <w:pPr>
              <w:jc w:val="center"/>
              <w:rPr>
                <w:szCs w:val="22"/>
              </w:rPr>
            </w:pPr>
            <w:r>
              <w:rPr>
                <w:szCs w:val="22"/>
              </w:rPr>
              <w:t>013</w:t>
            </w:r>
          </w:p>
        </w:tc>
        <w:tc>
          <w:tcPr>
            <w:tcW w:w="9236" w:type="dxa"/>
            <w:gridSpan w:val="2"/>
          </w:tcPr>
          <w:p w:rsidR="00AC7968" w:rsidRPr="00C431F7" w:rsidRDefault="00AC7968" w:rsidP="00D8246C">
            <w:r>
              <w:t>Internal Combustion Engine (#</w:t>
            </w:r>
            <w:r w:rsidR="00D8246C">
              <w:t>8</w:t>
            </w:r>
            <w:r>
              <w:t>)</w:t>
            </w:r>
          </w:p>
        </w:tc>
      </w:tr>
      <w:tr w:rsidR="00AC7968" w:rsidRPr="00877418" w:rsidTr="007D60C0">
        <w:tc>
          <w:tcPr>
            <w:tcW w:w="794" w:type="dxa"/>
            <w:vAlign w:val="center"/>
          </w:tcPr>
          <w:p w:rsidR="00AC7968" w:rsidRPr="00C431F7" w:rsidRDefault="00AC7968" w:rsidP="00AC7968">
            <w:pPr>
              <w:jc w:val="center"/>
              <w:rPr>
                <w:szCs w:val="22"/>
              </w:rPr>
            </w:pPr>
            <w:r>
              <w:rPr>
                <w:szCs w:val="22"/>
              </w:rPr>
              <w:t>014</w:t>
            </w:r>
          </w:p>
        </w:tc>
        <w:tc>
          <w:tcPr>
            <w:tcW w:w="9236" w:type="dxa"/>
            <w:gridSpan w:val="2"/>
          </w:tcPr>
          <w:p w:rsidR="00AC7968" w:rsidRPr="00C431F7" w:rsidRDefault="00AC7968" w:rsidP="00D8246C">
            <w:r>
              <w:t>Internal Combustion Engine (#</w:t>
            </w:r>
            <w:r w:rsidR="00D8246C">
              <w:t>9</w:t>
            </w:r>
            <w:r>
              <w:t>)</w:t>
            </w:r>
          </w:p>
        </w:tc>
      </w:tr>
      <w:tr w:rsidR="00D8246C" w:rsidRPr="00877418" w:rsidTr="007D60C0">
        <w:tc>
          <w:tcPr>
            <w:tcW w:w="794" w:type="dxa"/>
            <w:vAlign w:val="center"/>
          </w:tcPr>
          <w:p w:rsidR="00D8246C" w:rsidRPr="00255B55" w:rsidRDefault="00D8246C" w:rsidP="00D8246C">
            <w:pPr>
              <w:jc w:val="center"/>
              <w:rPr>
                <w:szCs w:val="22"/>
              </w:rPr>
            </w:pPr>
            <w:r>
              <w:rPr>
                <w:szCs w:val="22"/>
              </w:rPr>
              <w:t>015</w:t>
            </w:r>
          </w:p>
        </w:tc>
        <w:tc>
          <w:tcPr>
            <w:tcW w:w="9236" w:type="dxa"/>
            <w:gridSpan w:val="2"/>
          </w:tcPr>
          <w:p w:rsidR="00D8246C" w:rsidRPr="00C431F7" w:rsidRDefault="00D8246C" w:rsidP="00D8246C">
            <w:r>
              <w:t>Internal Combustion Engine (#10)</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0D1107" w:rsidRDefault="004C73A6" w:rsidP="00E521E8">
      <w:pPr>
        <w:numPr>
          <w:ilvl w:val="0"/>
          <w:numId w:val="19"/>
        </w:numPr>
        <w:spacing w:after="120"/>
        <w:rPr>
          <w:sz w:val="22"/>
          <w:szCs w:val="22"/>
        </w:rPr>
      </w:pPr>
      <w:r w:rsidRPr="000D1107">
        <w:rPr>
          <w:sz w:val="22"/>
          <w:szCs w:val="22"/>
        </w:rPr>
        <w:t xml:space="preserve">The facility </w:t>
      </w:r>
      <w:r w:rsidR="006E1647" w:rsidRPr="000D1107">
        <w:rPr>
          <w:sz w:val="22"/>
          <w:szCs w:val="22"/>
        </w:rPr>
        <w:t>is not</w:t>
      </w:r>
      <w:r w:rsidRPr="000D1107">
        <w:rPr>
          <w:sz w:val="22"/>
          <w:szCs w:val="22"/>
        </w:rPr>
        <w:t xml:space="preserve"> </w:t>
      </w:r>
      <w:r w:rsidR="006E1647" w:rsidRPr="000D1107">
        <w:rPr>
          <w:sz w:val="22"/>
          <w:szCs w:val="22"/>
        </w:rPr>
        <w:t xml:space="preserve">a </w:t>
      </w:r>
      <w:r w:rsidRPr="000D1107">
        <w:rPr>
          <w:sz w:val="22"/>
          <w:szCs w:val="22"/>
        </w:rPr>
        <w:t>major source of hazardous air pollutants (HAP).</w:t>
      </w:r>
    </w:p>
    <w:p w:rsidR="004C73A6" w:rsidRPr="000D1107" w:rsidRDefault="004C73A6" w:rsidP="00E521E8">
      <w:pPr>
        <w:pStyle w:val="BodyText"/>
        <w:numPr>
          <w:ilvl w:val="0"/>
          <w:numId w:val="19"/>
        </w:numPr>
        <w:rPr>
          <w:sz w:val="22"/>
          <w:szCs w:val="22"/>
        </w:rPr>
      </w:pPr>
      <w:r w:rsidRPr="000D1107">
        <w:rPr>
          <w:sz w:val="22"/>
          <w:szCs w:val="22"/>
        </w:rPr>
        <w:t xml:space="preserve">The facility </w:t>
      </w:r>
      <w:r w:rsidR="00611875" w:rsidRPr="000D1107">
        <w:rPr>
          <w:sz w:val="22"/>
          <w:szCs w:val="22"/>
        </w:rPr>
        <w:t>does not operate</w:t>
      </w:r>
      <w:r w:rsidRPr="000D1107">
        <w:rPr>
          <w:sz w:val="22"/>
          <w:szCs w:val="22"/>
        </w:rPr>
        <w:t xml:space="preserve"> units subject to the acid rain provisions of the Clean Air Act</w:t>
      </w:r>
      <w:r w:rsidR="00E83FBF" w:rsidRPr="000D1107">
        <w:rPr>
          <w:sz w:val="22"/>
          <w:szCs w:val="22"/>
        </w:rPr>
        <w:t xml:space="preserve"> (CAA)</w:t>
      </w:r>
      <w:r w:rsidRPr="000D1107">
        <w:rPr>
          <w:sz w:val="22"/>
          <w:szCs w:val="22"/>
        </w:rPr>
        <w:t>.</w:t>
      </w:r>
    </w:p>
    <w:p w:rsidR="004C73A6" w:rsidRPr="000D1107" w:rsidRDefault="004C73A6" w:rsidP="00E521E8">
      <w:pPr>
        <w:numPr>
          <w:ilvl w:val="0"/>
          <w:numId w:val="19"/>
        </w:numPr>
        <w:spacing w:after="120"/>
        <w:rPr>
          <w:sz w:val="22"/>
          <w:szCs w:val="22"/>
        </w:rPr>
      </w:pPr>
      <w:r w:rsidRPr="000D1107">
        <w:rPr>
          <w:sz w:val="22"/>
          <w:szCs w:val="22"/>
        </w:rPr>
        <w:t xml:space="preserve">The facility is a Title V major source of air pollution in accordance with Chapter </w:t>
      </w:r>
      <w:r w:rsidR="00747DBE" w:rsidRPr="000D1107">
        <w:rPr>
          <w:sz w:val="22"/>
          <w:szCs w:val="22"/>
        </w:rPr>
        <w:t>62-</w:t>
      </w:r>
      <w:r w:rsidRPr="000D1107">
        <w:rPr>
          <w:sz w:val="22"/>
          <w:szCs w:val="22"/>
        </w:rPr>
        <w:t>213, F.A.C.</w:t>
      </w:r>
    </w:p>
    <w:p w:rsidR="004C73A6" w:rsidRPr="000D1107" w:rsidRDefault="004C73A6" w:rsidP="00E521E8">
      <w:pPr>
        <w:numPr>
          <w:ilvl w:val="0"/>
          <w:numId w:val="19"/>
        </w:numPr>
        <w:spacing w:after="120"/>
        <w:rPr>
          <w:sz w:val="22"/>
          <w:szCs w:val="22"/>
        </w:rPr>
      </w:pPr>
      <w:r w:rsidRPr="000D1107">
        <w:rPr>
          <w:sz w:val="22"/>
          <w:szCs w:val="22"/>
        </w:rPr>
        <w:t xml:space="preserve">The facility is a major </w:t>
      </w:r>
      <w:r w:rsidR="00E521E8" w:rsidRPr="000D1107">
        <w:rPr>
          <w:sz w:val="22"/>
          <w:szCs w:val="22"/>
        </w:rPr>
        <w:t xml:space="preserve">stationary source </w:t>
      </w:r>
      <w:r w:rsidRPr="000D1107">
        <w:rPr>
          <w:sz w:val="22"/>
          <w:szCs w:val="22"/>
        </w:rPr>
        <w:t>in accordance with Rule 62-212.400</w:t>
      </w:r>
      <w:r w:rsidR="00E130E6" w:rsidRPr="000D1107">
        <w:rPr>
          <w:sz w:val="22"/>
          <w:szCs w:val="22"/>
        </w:rPr>
        <w:t>(PSD)</w:t>
      </w:r>
      <w:r w:rsidRPr="000D1107">
        <w:rPr>
          <w:sz w:val="22"/>
          <w:szCs w:val="22"/>
        </w:rPr>
        <w:t>, F.A.C.</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D16E51" w:rsidRPr="002D4960" w:rsidRDefault="00D16E51" w:rsidP="00D16E51">
      <w:pPr>
        <w:pStyle w:val="BodyText3"/>
        <w:numPr>
          <w:ilvl w:val="12"/>
          <w:numId w:val="0"/>
        </w:numPr>
        <w:jc w:val="left"/>
        <w:rPr>
          <w:szCs w:val="22"/>
        </w:rPr>
      </w:pPr>
      <w:r w:rsidRPr="002D4960">
        <w:rPr>
          <w:szCs w:val="22"/>
        </w:rPr>
        <w:lastRenderedPageBreak/>
        <w:t xml:space="preserve">The following permit conditions and emissions unit description </w:t>
      </w:r>
      <w:r w:rsidR="0058495D">
        <w:rPr>
          <w:szCs w:val="22"/>
        </w:rPr>
        <w:t xml:space="preserve">in Permit No. 0310358-012-AC / PSD-FL-374C </w:t>
      </w:r>
      <w:r w:rsidRPr="002D4960">
        <w:rPr>
          <w:szCs w:val="22"/>
        </w:rPr>
        <w:t xml:space="preserve">are revised as indicated.  </w:t>
      </w:r>
      <w:r w:rsidRPr="002D4960">
        <w:rPr>
          <w:strike/>
          <w:szCs w:val="22"/>
          <w:highlight w:val="yellow"/>
        </w:rPr>
        <w:t>Strikethrough</w:t>
      </w:r>
      <w:r w:rsidRPr="002D4960">
        <w:rPr>
          <w:szCs w:val="22"/>
        </w:rPr>
        <w:t xml:space="preserve"> is used to denote the deletion of text.  </w:t>
      </w:r>
      <w:r w:rsidRPr="002D4960">
        <w:rPr>
          <w:szCs w:val="22"/>
          <w:highlight w:val="yellow"/>
          <w:u w:val="double"/>
        </w:rPr>
        <w:t>Double-underlines</w:t>
      </w:r>
      <w:r w:rsidRPr="002D4960">
        <w:rPr>
          <w:szCs w:val="22"/>
        </w:rPr>
        <w:t xml:space="preserve"> are used to denote the addition of text.  All changes are emphasized with </w:t>
      </w:r>
      <w:r w:rsidRPr="002D4960">
        <w:rPr>
          <w:szCs w:val="22"/>
          <w:highlight w:val="yellow"/>
        </w:rPr>
        <w:t>yellow highlight</w:t>
      </w:r>
      <w:r w:rsidRPr="002D4960">
        <w:rPr>
          <w:szCs w:val="22"/>
        </w:rPr>
        <w:t xml:space="preserve"> in the electronic document.</w:t>
      </w:r>
    </w:p>
    <w:p w:rsidR="00D16E51" w:rsidRPr="000D1107" w:rsidRDefault="00D16E51" w:rsidP="00D16E51">
      <w:pPr>
        <w:pStyle w:val="Header"/>
        <w:pBdr>
          <w:between w:val="single" w:sz="8" w:space="1" w:color="auto"/>
        </w:pBdr>
        <w:tabs>
          <w:tab w:val="clear" w:pos="4320"/>
          <w:tab w:val="clear" w:pos="8640"/>
        </w:tabs>
        <w:jc w:val="center"/>
        <w:rPr>
          <w:rStyle w:val="PageNumber"/>
          <w:strike/>
          <w:highlight w:val="yellow"/>
        </w:rPr>
      </w:pPr>
      <w:r w:rsidRPr="000D1107">
        <w:rPr>
          <w:b/>
          <w:strike/>
          <w:sz w:val="22"/>
          <w:highlight w:val="yellow"/>
        </w:rPr>
        <w:t>SECTION 3.  EMISSIONS UNIT SPECIFIC CONDITIONS</w:t>
      </w:r>
    </w:p>
    <w:p w:rsidR="00D16E51" w:rsidRPr="000D1107" w:rsidRDefault="00D16E51" w:rsidP="00D16E51">
      <w:pPr>
        <w:pStyle w:val="Header"/>
        <w:pBdr>
          <w:between w:val="single" w:sz="8" w:space="1" w:color="auto"/>
        </w:pBdr>
        <w:tabs>
          <w:tab w:val="clear" w:pos="4320"/>
          <w:tab w:val="clear" w:pos="8640"/>
        </w:tabs>
        <w:spacing w:after="240"/>
        <w:jc w:val="center"/>
        <w:rPr>
          <w:b/>
          <w:strike/>
          <w:sz w:val="22"/>
        </w:rPr>
      </w:pPr>
      <w:r w:rsidRPr="000D1107">
        <w:rPr>
          <w:rStyle w:val="PageNumber"/>
          <w:b/>
          <w:strike/>
          <w:sz w:val="22"/>
          <w:highlight w:val="yellow"/>
        </w:rPr>
        <w:t>B.  EU 012-015</w:t>
      </w:r>
    </w:p>
    <w:p w:rsidR="000D1107" w:rsidRPr="000D1107" w:rsidRDefault="000D1107" w:rsidP="000D1107">
      <w:pPr>
        <w:pStyle w:val="BodyText3"/>
        <w:numPr>
          <w:ilvl w:val="12"/>
          <w:numId w:val="0"/>
        </w:numPr>
        <w:jc w:val="left"/>
        <w:rPr>
          <w:strike/>
          <w:szCs w:val="22"/>
          <w:highlight w:val="yellow"/>
        </w:rPr>
      </w:pPr>
      <w:r w:rsidRPr="000D1107">
        <w:rPr>
          <w:strike/>
          <w:szCs w:val="22"/>
          <w:highlight w:val="yellow"/>
        </w:rPr>
        <w:t>This section of the permit addresses the following 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0D1107" w:rsidRPr="000D1107" w:rsidTr="00F70454">
        <w:tc>
          <w:tcPr>
            <w:tcW w:w="794" w:type="dxa"/>
            <w:tcBorders>
              <w:top w:val="single" w:sz="12" w:space="0" w:color="auto"/>
              <w:bottom w:val="single" w:sz="12" w:space="0" w:color="auto"/>
              <w:right w:val="single" w:sz="12" w:space="0" w:color="auto"/>
            </w:tcBorders>
          </w:tcPr>
          <w:p w:rsidR="000D1107" w:rsidRPr="000D1107" w:rsidRDefault="000D1107" w:rsidP="00F70454">
            <w:pPr>
              <w:jc w:val="center"/>
              <w:rPr>
                <w:b/>
                <w:strike/>
                <w:highlight w:val="yellow"/>
              </w:rPr>
            </w:pPr>
            <w:r w:rsidRPr="000D1107">
              <w:rPr>
                <w:b/>
                <w:strike/>
                <w:highlight w:val="yellow"/>
              </w:rPr>
              <w:t>ID No.</w:t>
            </w:r>
          </w:p>
        </w:tc>
        <w:tc>
          <w:tcPr>
            <w:tcW w:w="9360" w:type="dxa"/>
            <w:tcBorders>
              <w:top w:val="single" w:sz="12" w:space="0" w:color="auto"/>
              <w:left w:val="single" w:sz="12" w:space="0" w:color="auto"/>
              <w:bottom w:val="single" w:sz="12" w:space="0" w:color="auto"/>
            </w:tcBorders>
          </w:tcPr>
          <w:p w:rsidR="000D1107" w:rsidRPr="000D1107" w:rsidRDefault="000D1107" w:rsidP="00F70454">
            <w:pPr>
              <w:rPr>
                <w:strike/>
                <w:highlight w:val="yellow"/>
              </w:rPr>
            </w:pPr>
            <w:r w:rsidRPr="000D1107">
              <w:rPr>
                <w:b/>
                <w:strike/>
                <w:highlight w:val="yellow"/>
              </w:rPr>
              <w:t>Emission Unit Description</w:t>
            </w:r>
          </w:p>
        </w:tc>
      </w:tr>
      <w:tr w:rsidR="000D1107" w:rsidRPr="000D1107" w:rsidTr="00F70454">
        <w:tc>
          <w:tcPr>
            <w:tcW w:w="794" w:type="dxa"/>
            <w:tcBorders>
              <w:top w:val="single" w:sz="12" w:space="0" w:color="auto"/>
              <w:bottom w:val="single" w:sz="12" w:space="0" w:color="auto"/>
              <w:right w:val="single" w:sz="12" w:space="0" w:color="auto"/>
            </w:tcBorders>
          </w:tcPr>
          <w:p w:rsidR="000D1107" w:rsidRPr="000D1107" w:rsidRDefault="000D1107" w:rsidP="00F70454">
            <w:pPr>
              <w:pStyle w:val="BodyText2"/>
              <w:widowControl w:val="0"/>
              <w:spacing w:after="0"/>
              <w:jc w:val="center"/>
              <w:rPr>
                <w:strike/>
                <w:sz w:val="20"/>
                <w:highlight w:val="yellow"/>
              </w:rPr>
            </w:pPr>
            <w:r w:rsidRPr="000D1107">
              <w:rPr>
                <w:strike/>
                <w:sz w:val="20"/>
                <w:highlight w:val="yellow"/>
              </w:rPr>
              <w:t>012-015</w:t>
            </w:r>
          </w:p>
        </w:tc>
        <w:tc>
          <w:tcPr>
            <w:tcW w:w="9360" w:type="dxa"/>
            <w:tcBorders>
              <w:top w:val="single" w:sz="12" w:space="0" w:color="auto"/>
              <w:left w:val="single" w:sz="12" w:space="0" w:color="auto"/>
              <w:bottom w:val="single" w:sz="12" w:space="0" w:color="auto"/>
            </w:tcBorders>
          </w:tcPr>
          <w:p w:rsidR="000D1107" w:rsidRPr="000D1107" w:rsidRDefault="000D1107" w:rsidP="00F70454">
            <w:pPr>
              <w:pStyle w:val="BodyText2"/>
              <w:widowControl w:val="0"/>
              <w:spacing w:after="0"/>
              <w:rPr>
                <w:strike/>
                <w:sz w:val="20"/>
                <w:highlight w:val="yellow"/>
              </w:rPr>
            </w:pPr>
            <w:r w:rsidRPr="000D1107">
              <w:rPr>
                <w:strike/>
                <w:sz w:val="21"/>
                <w:highlight w:val="yellow"/>
              </w:rPr>
              <w:t>Four Caterpillar Model G3520C or equivalent landfill gas fueled internal combustion engines and electricity generators.  Each engine has a power generation rating of 2,233 brake horsepower at 100 percent load.  The generator has a power output rating of 1,600 kilowatt.  The engines will be fueled exclusively with landfill gas generated by and received from the Trail Ridge Landfill facility.  The landfill gas will go through a gas treatment system prior to combustion in the engines</w:t>
            </w:r>
          </w:p>
        </w:tc>
      </w:tr>
    </w:tbl>
    <w:p w:rsidR="000D1107" w:rsidRPr="000D1107" w:rsidRDefault="000D1107" w:rsidP="000D1107">
      <w:pPr>
        <w:pStyle w:val="Caption"/>
        <w:spacing w:before="60"/>
        <w:rPr>
          <w:b w:val="0"/>
          <w:i/>
          <w:caps w:val="0"/>
          <w:strike/>
          <w:szCs w:val="22"/>
          <w:highlight w:val="yellow"/>
        </w:rPr>
      </w:pPr>
      <w:r w:rsidRPr="000D1107">
        <w:rPr>
          <w:b w:val="0"/>
          <w:i/>
          <w:strike/>
          <w:szCs w:val="22"/>
          <w:highlight w:val="yellow"/>
        </w:rPr>
        <w:t>{</w:t>
      </w:r>
      <w:r w:rsidRPr="000D1107">
        <w:rPr>
          <w:b w:val="0"/>
          <w:i/>
          <w:caps w:val="0"/>
          <w:strike/>
          <w:szCs w:val="22"/>
          <w:highlight w:val="yellow"/>
        </w:rPr>
        <w:t>Permitting Note:</w:t>
      </w:r>
      <w:r w:rsidRPr="000D1107">
        <w:rPr>
          <w:caps w:val="0"/>
          <w:strike/>
          <w:szCs w:val="22"/>
          <w:highlight w:val="yellow"/>
        </w:rPr>
        <w:t xml:space="preserve">  </w:t>
      </w:r>
      <w:r w:rsidRPr="000D1107">
        <w:rPr>
          <w:b w:val="0"/>
          <w:i/>
          <w:caps w:val="0"/>
          <w:strike/>
          <w:szCs w:val="22"/>
          <w:highlight w:val="yellow"/>
        </w:rPr>
        <w:t>Emission Unit ID Nos. 012 and 013 are planned to be installed once the permit is issued and Emission Unit ID Nos. 014 and 015 will be installed at a later date.}</w:t>
      </w:r>
    </w:p>
    <w:p w:rsidR="000D1107" w:rsidRPr="000D1107" w:rsidRDefault="000D1107" w:rsidP="000D1107">
      <w:pPr>
        <w:pStyle w:val="Caption"/>
        <w:spacing w:before="0"/>
        <w:rPr>
          <w:strike/>
          <w:szCs w:val="22"/>
          <w:highlight w:val="yellow"/>
        </w:rPr>
      </w:pPr>
      <w:r w:rsidRPr="000D1107">
        <w:rPr>
          <w:strike/>
          <w:szCs w:val="22"/>
          <w:highlight w:val="yellow"/>
        </w:rPr>
        <w:t>Equipment</w:t>
      </w:r>
    </w:p>
    <w:p w:rsidR="000D1107" w:rsidRPr="000D1107" w:rsidRDefault="000D1107" w:rsidP="000D1107">
      <w:pPr>
        <w:numPr>
          <w:ilvl w:val="0"/>
          <w:numId w:val="38"/>
        </w:numPr>
        <w:spacing w:after="120"/>
        <w:rPr>
          <w:strike/>
          <w:sz w:val="22"/>
          <w:szCs w:val="22"/>
          <w:highlight w:val="yellow"/>
        </w:rPr>
      </w:pPr>
      <w:r w:rsidRPr="000D1107">
        <w:rPr>
          <w:strike/>
          <w:sz w:val="22"/>
          <w:highlight w:val="yellow"/>
          <w:u w:val="single"/>
        </w:rPr>
        <w:t>Landfill Gas Engine/Generator Sets</w:t>
      </w:r>
      <w:r w:rsidRPr="000D1107">
        <w:rPr>
          <w:strike/>
          <w:sz w:val="22"/>
          <w:highlight w:val="yellow"/>
        </w:rPr>
        <w:t xml:space="preserve">:  </w:t>
      </w:r>
      <w:r w:rsidRPr="000D1107">
        <w:rPr>
          <w:strike/>
          <w:sz w:val="22"/>
          <w:szCs w:val="22"/>
          <w:highlight w:val="yellow"/>
        </w:rPr>
        <w:t xml:space="preserve">The permittee is authorized to install and operate four (Caterpillar Model G3520C or equivalent) spark-ignited reciprocating internal combustion engines.  Each engine is a 20-cylinder engine with a total displacement of approximately 86.3 liters.  Each engine has a maximum rating of 2,233 </w:t>
      </w:r>
      <w:proofErr w:type="spellStart"/>
      <w:r w:rsidRPr="000D1107">
        <w:rPr>
          <w:strike/>
          <w:sz w:val="22"/>
          <w:highlight w:val="yellow"/>
        </w:rPr>
        <w:t>bhp</w:t>
      </w:r>
      <w:proofErr w:type="spellEnd"/>
      <w:r w:rsidRPr="000D1107">
        <w:rPr>
          <w:strike/>
          <w:sz w:val="22"/>
          <w:highlight w:val="yellow"/>
        </w:rPr>
        <w:t xml:space="preserve"> </w:t>
      </w:r>
      <w:r w:rsidRPr="000D1107">
        <w:rPr>
          <w:strike/>
          <w:sz w:val="22"/>
          <w:szCs w:val="22"/>
          <w:highlight w:val="yellow"/>
        </w:rPr>
        <w:t>and is coupled to a 1,600 kW generator</w:t>
      </w:r>
      <w:r w:rsidRPr="000D1107">
        <w:rPr>
          <w:strike/>
          <w:sz w:val="22"/>
          <w:highlight w:val="yellow"/>
        </w:rPr>
        <w:t xml:space="preserve"> (nominal rating) for the generation of up to a total of 6.4 MW of electricity. </w:t>
      </w:r>
      <w:r w:rsidRPr="000D1107">
        <w:rPr>
          <w:strike/>
          <w:sz w:val="22"/>
          <w:szCs w:val="22"/>
          <w:highlight w:val="yellow"/>
        </w:rPr>
        <w:t xml:space="preserve"> The maximum rating when coupled to the electrical generator is 2,233 </w:t>
      </w:r>
      <w:proofErr w:type="spellStart"/>
      <w:r w:rsidRPr="000D1107">
        <w:rPr>
          <w:strike/>
          <w:sz w:val="22"/>
          <w:szCs w:val="22"/>
          <w:highlight w:val="yellow"/>
        </w:rPr>
        <w:t>bhp</w:t>
      </w:r>
      <w:proofErr w:type="spellEnd"/>
      <w:r w:rsidRPr="000D1107">
        <w:rPr>
          <w:strike/>
          <w:sz w:val="22"/>
          <w:szCs w:val="22"/>
          <w:highlight w:val="yellow"/>
        </w:rPr>
        <w:t>.  Each engine will fire LFG.  The LFG will pass through a gas treatment system prior to combustion in the engines.</w:t>
      </w:r>
    </w:p>
    <w:p w:rsidR="000D1107" w:rsidRPr="000D1107" w:rsidRDefault="000D1107" w:rsidP="000D1107">
      <w:pPr>
        <w:numPr>
          <w:ilvl w:val="0"/>
          <w:numId w:val="42"/>
        </w:numPr>
        <w:suppressAutoHyphens/>
        <w:spacing w:after="120"/>
        <w:rPr>
          <w:strike/>
          <w:sz w:val="22"/>
          <w:szCs w:val="22"/>
          <w:highlight w:val="yellow"/>
        </w:rPr>
      </w:pPr>
      <w:r w:rsidRPr="000D1107">
        <w:rPr>
          <w:strike/>
          <w:sz w:val="22"/>
          <w:szCs w:val="22"/>
          <w:highlight w:val="yellow"/>
        </w:rPr>
        <w:t>Each engine shall be equipped with an air-to-fuel ratio controller and ignition timing to maintain efficient fuel combustion.</w:t>
      </w:r>
    </w:p>
    <w:p w:rsidR="000D1107" w:rsidRPr="000D1107" w:rsidRDefault="000D1107" w:rsidP="000D1107">
      <w:pPr>
        <w:numPr>
          <w:ilvl w:val="0"/>
          <w:numId w:val="42"/>
        </w:numPr>
        <w:suppressAutoHyphens/>
        <w:spacing w:after="120"/>
        <w:rPr>
          <w:strike/>
          <w:sz w:val="22"/>
          <w:szCs w:val="22"/>
          <w:highlight w:val="yellow"/>
        </w:rPr>
      </w:pPr>
      <w:r w:rsidRPr="000D1107">
        <w:rPr>
          <w:strike/>
          <w:sz w:val="22"/>
          <w:szCs w:val="22"/>
          <w:highlight w:val="yellow"/>
        </w:rPr>
        <w:t>Each engine shall be equipped with an automatic fail-safe block valve which must be designed to stop the flow of landfill gas in the event of an engine failure.</w:t>
      </w:r>
    </w:p>
    <w:p w:rsidR="000D1107" w:rsidRPr="000D1107" w:rsidRDefault="000D1107" w:rsidP="000D1107">
      <w:pPr>
        <w:numPr>
          <w:ilvl w:val="0"/>
          <w:numId w:val="42"/>
        </w:numPr>
        <w:suppressAutoHyphens/>
        <w:spacing w:after="120"/>
        <w:rPr>
          <w:strike/>
          <w:sz w:val="22"/>
          <w:szCs w:val="22"/>
          <w:highlight w:val="yellow"/>
        </w:rPr>
      </w:pPr>
      <w:r w:rsidRPr="000D1107">
        <w:rPr>
          <w:strike/>
          <w:sz w:val="22"/>
          <w:szCs w:val="22"/>
          <w:highlight w:val="yellow"/>
        </w:rPr>
        <w:t>Each engine shall be equipped with a non-resettable elapsed time meter to indicate the elapsed engine operating time in cumulative hours.</w:t>
      </w:r>
    </w:p>
    <w:p w:rsidR="000D1107" w:rsidRPr="000D1107" w:rsidRDefault="000D1107" w:rsidP="000D1107">
      <w:pPr>
        <w:numPr>
          <w:ilvl w:val="0"/>
          <w:numId w:val="42"/>
        </w:numPr>
        <w:suppressAutoHyphens/>
        <w:spacing w:after="120"/>
        <w:rPr>
          <w:strike/>
          <w:sz w:val="22"/>
          <w:szCs w:val="22"/>
          <w:highlight w:val="yellow"/>
        </w:rPr>
      </w:pPr>
      <w:r w:rsidRPr="000D1107">
        <w:rPr>
          <w:strike/>
          <w:sz w:val="22"/>
          <w:szCs w:val="22"/>
          <w:highlight w:val="yellow"/>
        </w:rPr>
        <w:t>A gas flow meter shall be installed to monitor the total flow rate to all of the landfill gas engines.</w:t>
      </w:r>
    </w:p>
    <w:p w:rsidR="000D1107" w:rsidRPr="000D1107" w:rsidRDefault="000D1107" w:rsidP="000D1107">
      <w:pPr>
        <w:suppressAutoHyphens/>
        <w:spacing w:after="120"/>
        <w:ind w:left="450"/>
        <w:rPr>
          <w:strike/>
          <w:sz w:val="22"/>
          <w:szCs w:val="22"/>
          <w:highlight w:val="yellow"/>
        </w:rPr>
      </w:pPr>
      <w:r w:rsidRPr="000D1107">
        <w:rPr>
          <w:i/>
          <w:strike/>
          <w:sz w:val="22"/>
          <w:szCs w:val="22"/>
          <w:highlight w:val="yellow"/>
        </w:rPr>
        <w:t xml:space="preserve">{Permitting Note:  The heat input rate is based on 100% load (2,233 </w:t>
      </w:r>
      <w:proofErr w:type="spellStart"/>
      <w:r w:rsidRPr="000D1107">
        <w:rPr>
          <w:i/>
          <w:strike/>
          <w:sz w:val="22"/>
          <w:szCs w:val="22"/>
          <w:highlight w:val="yellow"/>
        </w:rPr>
        <w:t>bhp</w:t>
      </w:r>
      <w:proofErr w:type="spellEnd"/>
      <w:r w:rsidRPr="000D1107">
        <w:rPr>
          <w:i/>
          <w:strike/>
          <w:sz w:val="22"/>
          <w:szCs w:val="22"/>
          <w:highlight w:val="yellow"/>
        </w:rPr>
        <w:t xml:space="preserve">), a nominal landfill gas heating value of 500 British thermal units (Btu) per scf and an approximate landfill gas firing rate of 580 scfm per engine.}  </w:t>
      </w:r>
      <w:r w:rsidRPr="000D1107">
        <w:rPr>
          <w:strike/>
          <w:sz w:val="22"/>
          <w:szCs w:val="22"/>
          <w:highlight w:val="yellow"/>
        </w:rPr>
        <w:t>[Application No. 0310358-012-AC; and Rules 62-4.070(3), 62-210.200(PTE) and 62-212.400(PSD), F.A.C.]</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LFG Treatment System</w:t>
      </w:r>
      <w:r w:rsidRPr="000D1107">
        <w:rPr>
          <w:strike/>
          <w:sz w:val="22"/>
          <w:szCs w:val="22"/>
          <w:highlight w:val="yellow"/>
        </w:rPr>
        <w:t>:  The permittee shall design, install, operate and maintain a LFG Treatment System including equipment for:  gas compression (blowers/compressors), de-watering (knock-out and chilling system) and particulate removal (filtration).  Specifically, the permittee shall design, install, maintain and operate 1 micron primary and polishing filters to remove particulate matter from the LFG prior to combustion in the engines.  The LFG treatment system shall not be equipped with atmospheric vents.  [Application No. 0310358-012-AC; and Rule 62-212.400, F.A.C.]</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Construction Milestones</w:t>
      </w:r>
      <w:r w:rsidRPr="000D1107">
        <w:rPr>
          <w:strike/>
          <w:sz w:val="22"/>
          <w:szCs w:val="22"/>
          <w:highlight w:val="yellow"/>
        </w:rPr>
        <w:t xml:space="preserve">:  The permittee shall submit to the Office of Permitting and Compliance a construction schedule and any changes to the schedule for the first two engines (Emission Unit ID Nos. 012 and 013) within 90 days of the permit issuance.  For the remaining two engines (Emission Unit ID Nos. 014 </w:t>
      </w:r>
      <w:r w:rsidRPr="000D1107">
        <w:rPr>
          <w:strike/>
          <w:sz w:val="22"/>
          <w:szCs w:val="22"/>
          <w:highlight w:val="yellow"/>
        </w:rPr>
        <w:lastRenderedPageBreak/>
        <w:t>and 015), the permittee shall submit the construction schedule within one year of issuance of the permit.  [Rule 62-212.400(12), F.A.C.]</w:t>
      </w:r>
    </w:p>
    <w:p w:rsidR="000D1107" w:rsidRPr="000D1107" w:rsidRDefault="000D1107" w:rsidP="000D1107">
      <w:pPr>
        <w:spacing w:before="120" w:after="120"/>
        <w:rPr>
          <w:b/>
          <w:caps/>
          <w:strike/>
          <w:sz w:val="22"/>
          <w:szCs w:val="22"/>
          <w:highlight w:val="yellow"/>
        </w:rPr>
      </w:pPr>
      <w:r w:rsidRPr="000D1107">
        <w:rPr>
          <w:b/>
          <w:caps/>
          <w:strike/>
          <w:sz w:val="22"/>
          <w:szCs w:val="22"/>
          <w:highlight w:val="yellow"/>
        </w:rPr>
        <w:t>Performance Restrictions</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Permitted Capacity</w:t>
      </w:r>
      <w:r w:rsidRPr="000D1107">
        <w:rPr>
          <w:strike/>
          <w:sz w:val="22"/>
          <w:szCs w:val="22"/>
          <w:highlight w:val="yellow"/>
        </w:rPr>
        <w:t xml:space="preserve">:  Each landfill gas engine has a maximum power rating of 2,233 </w:t>
      </w:r>
      <w:proofErr w:type="spellStart"/>
      <w:r w:rsidRPr="000D1107">
        <w:rPr>
          <w:strike/>
          <w:sz w:val="22"/>
          <w:szCs w:val="22"/>
          <w:highlight w:val="yellow"/>
        </w:rPr>
        <w:t>bhp</w:t>
      </w:r>
      <w:proofErr w:type="spellEnd"/>
      <w:r w:rsidRPr="000D1107">
        <w:rPr>
          <w:strike/>
          <w:sz w:val="22"/>
          <w:szCs w:val="22"/>
          <w:highlight w:val="yellow"/>
        </w:rPr>
        <w:t xml:space="preserve"> at 100% load (approximately 17.6 MMBtu/hour).  The electrical generator set has a nominal power rating of 1,600 kilowatts.  [Rule 62-210.200(PTE), F.A.C.]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Authorized Fuel</w:t>
      </w:r>
      <w:r w:rsidRPr="000D1107">
        <w:rPr>
          <w:strike/>
          <w:sz w:val="22"/>
          <w:szCs w:val="22"/>
          <w:highlight w:val="yellow"/>
        </w:rPr>
        <w:t xml:space="preserve">:  Each engine shall fire only landfill gas.  [Application No. 0310358-012-AC and Rule 62-210.200(PTE), F.A.C.]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Restricted Operation</w:t>
      </w:r>
      <w:r w:rsidRPr="000D1107">
        <w:rPr>
          <w:strike/>
          <w:sz w:val="22"/>
          <w:szCs w:val="22"/>
          <w:highlight w:val="yellow"/>
        </w:rPr>
        <w:t xml:space="preserve">:  The hours of operation are not limited (8760 hours per year).  [Rules 62-4.070(3) and 62-210.200(PTE), F.A.C.]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Operating Requirements</w:t>
      </w:r>
      <w:r w:rsidRPr="000D1107">
        <w:rPr>
          <w:strike/>
          <w:sz w:val="22"/>
          <w:szCs w:val="22"/>
          <w:highlight w:val="yellow"/>
        </w:rPr>
        <w:t>:  The permittee shall set the air-to-fuel ratio for each engine based on the most recent emissions tests or each engine shall be operated within 0.5 percent of the oxygen content in the exhaust gas at the air-to-fuel ratio operated at during the most recent performance test demonstrating compliance with the standards specified in this permit and other operating conditions identified in NSPS 40 CFR 60, Subpart JJJJ.  [Rule 62-212.400(BACT), F.A.C., Construction Permit No. 0310358-004-AC/PSD-FL-374 and NSPS Subpart JJJJ in 40 CFR 60]</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rPr>
        <w:t xml:space="preserve"> </w:t>
      </w:r>
      <w:r w:rsidRPr="000D1107">
        <w:rPr>
          <w:strike/>
          <w:sz w:val="22"/>
          <w:szCs w:val="22"/>
          <w:highlight w:val="yellow"/>
          <w:u w:val="single"/>
        </w:rPr>
        <w:t>Applicable NSPS Provisions</w:t>
      </w:r>
      <w:r w:rsidRPr="000D1107">
        <w:rPr>
          <w:strike/>
          <w:sz w:val="22"/>
          <w:szCs w:val="22"/>
          <w:highlight w:val="yellow"/>
        </w:rPr>
        <w:t xml:space="preserve">:  The landfill gas engines are subject to, and shall comply with, the applicable provisions in NSPS Subpart A (General Provisions) and NSPS Subpart JJJJ (Stationary Spark Ignition Internal Combustion Engines) of 40 CFR 60, which are identified in Appendix ICE of this permit.  [NSPS Subparts A and JJJJ in 40 CFR 60 and Rule 62-204.800, F.A.C.]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Applicable NESHAP Provisions</w:t>
      </w:r>
      <w:r w:rsidRPr="000D1107">
        <w:rPr>
          <w:strike/>
          <w:sz w:val="22"/>
          <w:szCs w:val="22"/>
          <w:highlight w:val="yellow"/>
        </w:rPr>
        <w:t xml:space="preserve">:  The landfill gas engines are subject to, and shall comply with, initial notification, reporting and recordkeeping requirement of the subpart </w:t>
      </w:r>
      <w:r w:rsidRPr="000D1107">
        <w:rPr>
          <w:strike/>
          <w:sz w:val="22"/>
          <w:highlight w:val="yellow"/>
        </w:rPr>
        <w:t>applicable NESHAP provisions in 40 CFR 63 for Subpart A (General Provisions) and Subpart ZZZZ</w:t>
      </w:r>
      <w:r w:rsidRPr="000D1107">
        <w:rPr>
          <w:strike/>
          <w:sz w:val="22"/>
          <w:szCs w:val="22"/>
          <w:highlight w:val="yellow"/>
        </w:rPr>
        <w:t xml:space="preserve"> (Reciprocating Internal Combustion Engines) of 40 CFR 63, which are identified in Appendix ICE of this permit.  Pursuant to 40 CFR 63.6590, the landfill gas engines complies with NESHAP Subpart ZZZZ by complying with NSPS Subpart JJJJ.  [NESHAP Subparts A and ZZZZ in 40 CFR 63 and Rule 62-204.800, F.A.C.] </w:t>
      </w:r>
    </w:p>
    <w:p w:rsidR="000D1107" w:rsidRPr="000D1107" w:rsidRDefault="000D1107" w:rsidP="000D1107">
      <w:pPr>
        <w:suppressAutoHyphens/>
        <w:spacing w:before="120" w:after="120"/>
        <w:rPr>
          <w:b/>
          <w:caps/>
          <w:strike/>
          <w:sz w:val="22"/>
          <w:szCs w:val="22"/>
          <w:highlight w:val="yellow"/>
        </w:rPr>
      </w:pPr>
      <w:r w:rsidRPr="000D1107">
        <w:rPr>
          <w:b/>
          <w:caps/>
          <w:strike/>
          <w:sz w:val="22"/>
          <w:szCs w:val="22"/>
          <w:highlight w:val="yellow"/>
        </w:rPr>
        <w:t>Emissions Standards</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Nitrogen Oxides (NOx):</w:t>
      </w:r>
      <w:r w:rsidRPr="000D1107">
        <w:rPr>
          <w:strike/>
          <w:sz w:val="22"/>
          <w:szCs w:val="22"/>
          <w:highlight w:val="yellow"/>
        </w:rPr>
        <w:t xml:space="preserve">  The emission rate of NOx from each engine/generator set exhaust shall not exceed 0.6 gram per brake horsepower hour (g/</w:t>
      </w:r>
      <w:proofErr w:type="spellStart"/>
      <w:r w:rsidRPr="000D1107">
        <w:rPr>
          <w:strike/>
          <w:sz w:val="22"/>
          <w:szCs w:val="22"/>
          <w:highlight w:val="yellow"/>
        </w:rPr>
        <w:t>bhp</w:t>
      </w:r>
      <w:proofErr w:type="spellEnd"/>
      <w:r w:rsidRPr="000D1107">
        <w:rPr>
          <w:strike/>
          <w:sz w:val="22"/>
          <w:szCs w:val="22"/>
          <w:highlight w:val="yellow"/>
        </w:rPr>
        <w:t xml:space="preserve">-hr) and a maximum of 3.0 pounds per hour (lb/hr).  [Rule 62-212.400(12), F.A.C.] </w:t>
      </w:r>
    </w:p>
    <w:p w:rsidR="000D1107" w:rsidRPr="000D1107" w:rsidRDefault="000D1107" w:rsidP="000D1107">
      <w:pPr>
        <w:numPr>
          <w:ilvl w:val="0"/>
          <w:numId w:val="38"/>
        </w:numPr>
        <w:spacing w:after="120"/>
        <w:rPr>
          <w:strike/>
          <w:sz w:val="22"/>
          <w:szCs w:val="22"/>
          <w:highlight w:val="yellow"/>
        </w:rPr>
      </w:pPr>
      <w:r w:rsidRPr="000D1107">
        <w:rPr>
          <w:strike/>
          <w:sz w:val="22"/>
          <w:highlight w:val="yellow"/>
          <w:u w:val="single"/>
        </w:rPr>
        <w:t>Carbon Monoxide (CO):</w:t>
      </w:r>
      <w:r w:rsidRPr="000D1107">
        <w:rPr>
          <w:strike/>
          <w:sz w:val="22"/>
          <w:highlight w:val="yellow"/>
        </w:rPr>
        <w:t xml:space="preserve">  The emission rate of CO from each engine/generator set exhaust shall not exceed 3.5 g/</w:t>
      </w:r>
      <w:proofErr w:type="spellStart"/>
      <w:r w:rsidRPr="000D1107">
        <w:rPr>
          <w:strike/>
          <w:sz w:val="22"/>
          <w:highlight w:val="yellow"/>
        </w:rPr>
        <w:t>bhp</w:t>
      </w:r>
      <w:proofErr w:type="spellEnd"/>
      <w:r w:rsidRPr="000D1107">
        <w:rPr>
          <w:strike/>
          <w:sz w:val="22"/>
          <w:highlight w:val="yellow"/>
        </w:rPr>
        <w:t>-hr and a maximum of 17.2 lb/hr.  [Rule 62-212.400(12), F.A.C.]</w:t>
      </w:r>
      <w:r w:rsidRPr="000D1107">
        <w:rPr>
          <w:strike/>
          <w:sz w:val="22"/>
          <w:szCs w:val="22"/>
          <w:highlight w:val="yellow"/>
        </w:rPr>
        <w:t xml:space="preserve">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Particulate Matter/Particulate Matter less than 10 microns (PM/PM</w:t>
      </w:r>
      <w:r w:rsidRPr="000D1107">
        <w:rPr>
          <w:strike/>
          <w:sz w:val="22"/>
          <w:szCs w:val="22"/>
          <w:highlight w:val="yellow"/>
          <w:u w:val="single"/>
          <w:vertAlign w:val="subscript"/>
        </w:rPr>
        <w:t>10</w:t>
      </w:r>
      <w:r w:rsidRPr="000D1107">
        <w:rPr>
          <w:strike/>
          <w:sz w:val="22"/>
          <w:szCs w:val="22"/>
          <w:highlight w:val="yellow"/>
          <w:u w:val="single"/>
        </w:rPr>
        <w:t>)</w:t>
      </w:r>
      <w:r w:rsidRPr="000D1107">
        <w:rPr>
          <w:strike/>
          <w:sz w:val="22"/>
          <w:szCs w:val="22"/>
          <w:highlight w:val="yellow"/>
        </w:rPr>
        <w:t>:  Emissions of PM/PM</w:t>
      </w:r>
      <w:r w:rsidRPr="000D1107">
        <w:rPr>
          <w:strike/>
          <w:sz w:val="22"/>
          <w:szCs w:val="22"/>
          <w:highlight w:val="yellow"/>
          <w:vertAlign w:val="subscript"/>
        </w:rPr>
        <w:t>10</w:t>
      </w:r>
      <w:r w:rsidRPr="000D1107">
        <w:rPr>
          <w:strike/>
          <w:sz w:val="22"/>
          <w:szCs w:val="22"/>
          <w:highlight w:val="yellow"/>
        </w:rPr>
        <w:t xml:space="preserve"> shall be minimized by the following work practice standards:  installing, maintaining and operating the LFG Treatment System that meets the filtration specification; and, as determined by EPA Method 9, visible emissions from each engine exhaust shall not exceed 10% opacity.  {</w:t>
      </w:r>
      <w:r w:rsidRPr="000D1107">
        <w:rPr>
          <w:i/>
          <w:strike/>
          <w:sz w:val="22"/>
          <w:szCs w:val="22"/>
          <w:highlight w:val="yellow"/>
        </w:rPr>
        <w:t>Permitting Note:  Based on these work practice standards, the expected maximum PM/PM</w:t>
      </w:r>
      <w:r w:rsidRPr="000D1107">
        <w:rPr>
          <w:i/>
          <w:strike/>
          <w:sz w:val="22"/>
          <w:szCs w:val="22"/>
          <w:highlight w:val="yellow"/>
          <w:vertAlign w:val="subscript"/>
        </w:rPr>
        <w:t>10</w:t>
      </w:r>
      <w:r w:rsidRPr="000D1107">
        <w:rPr>
          <w:i/>
          <w:strike/>
          <w:sz w:val="22"/>
          <w:szCs w:val="22"/>
          <w:highlight w:val="yellow"/>
        </w:rPr>
        <w:t xml:space="preserve"> emissions from each engine is 0.24 g/</w:t>
      </w:r>
      <w:proofErr w:type="spellStart"/>
      <w:r w:rsidRPr="000D1107">
        <w:rPr>
          <w:i/>
          <w:strike/>
          <w:sz w:val="22"/>
          <w:szCs w:val="22"/>
          <w:highlight w:val="yellow"/>
        </w:rPr>
        <w:t>bhp</w:t>
      </w:r>
      <w:proofErr w:type="spellEnd"/>
      <w:r w:rsidRPr="000D1107">
        <w:rPr>
          <w:i/>
          <w:strike/>
          <w:sz w:val="22"/>
          <w:szCs w:val="22"/>
          <w:highlight w:val="yellow"/>
        </w:rPr>
        <w:t>-hr and a maximum of 1.2 lb/hr.</w:t>
      </w:r>
      <w:r w:rsidRPr="000D1107">
        <w:rPr>
          <w:strike/>
          <w:sz w:val="22"/>
          <w:szCs w:val="22"/>
          <w:highlight w:val="yellow"/>
        </w:rPr>
        <w:t>}</w:t>
      </w:r>
      <w:r w:rsidRPr="000D1107">
        <w:rPr>
          <w:i/>
          <w:strike/>
          <w:sz w:val="22"/>
          <w:szCs w:val="22"/>
          <w:highlight w:val="yellow"/>
        </w:rPr>
        <w:t xml:space="preserve">  </w:t>
      </w:r>
      <w:r w:rsidRPr="000D1107">
        <w:rPr>
          <w:strike/>
          <w:sz w:val="22"/>
          <w:szCs w:val="22"/>
          <w:highlight w:val="yellow"/>
        </w:rPr>
        <w:t xml:space="preserve">[Rule 62-212.400(BACT), F.A.C.] </w:t>
      </w:r>
    </w:p>
    <w:p w:rsidR="000D1107" w:rsidRPr="000D1107" w:rsidRDefault="000D1107" w:rsidP="000D1107">
      <w:pPr>
        <w:numPr>
          <w:ilvl w:val="0"/>
          <w:numId w:val="38"/>
        </w:numPr>
        <w:spacing w:after="120"/>
        <w:rPr>
          <w:strike/>
          <w:sz w:val="22"/>
          <w:szCs w:val="22"/>
          <w:highlight w:val="yellow"/>
        </w:rPr>
      </w:pPr>
      <w:r w:rsidRPr="000D1107">
        <w:rPr>
          <w:strike/>
          <w:sz w:val="22"/>
          <w:highlight w:val="yellow"/>
          <w:u w:val="single"/>
        </w:rPr>
        <w:t>Volatile Organic Compounds (VOC):</w:t>
      </w:r>
      <w:r w:rsidRPr="000D1107">
        <w:rPr>
          <w:strike/>
          <w:sz w:val="22"/>
          <w:highlight w:val="yellow"/>
        </w:rPr>
        <w:t xml:space="preserve">  The emission rate of total VOC from each engine/generator set exhaust shall not exceed 0.28 g/</w:t>
      </w:r>
      <w:proofErr w:type="spellStart"/>
      <w:r w:rsidRPr="000D1107">
        <w:rPr>
          <w:strike/>
          <w:sz w:val="22"/>
          <w:highlight w:val="yellow"/>
        </w:rPr>
        <w:t>bhp</w:t>
      </w:r>
      <w:proofErr w:type="spellEnd"/>
      <w:r w:rsidRPr="000D1107">
        <w:rPr>
          <w:strike/>
          <w:sz w:val="22"/>
          <w:highlight w:val="yellow"/>
        </w:rPr>
        <w:t xml:space="preserve">-hr and a maximum of 1.4 lb/hr.  </w:t>
      </w:r>
      <w:r w:rsidRPr="000D1107">
        <w:rPr>
          <w:i/>
          <w:strike/>
          <w:sz w:val="22"/>
          <w:szCs w:val="22"/>
          <w:highlight w:val="yellow"/>
        </w:rPr>
        <w:t>{Permitting Note:  1.0 g/</w:t>
      </w:r>
      <w:proofErr w:type="spellStart"/>
      <w:r w:rsidRPr="000D1107">
        <w:rPr>
          <w:i/>
          <w:strike/>
          <w:sz w:val="22"/>
          <w:szCs w:val="22"/>
          <w:highlight w:val="yellow"/>
        </w:rPr>
        <w:t>bhp</w:t>
      </w:r>
      <w:proofErr w:type="spellEnd"/>
      <w:r w:rsidRPr="000D1107">
        <w:rPr>
          <w:i/>
          <w:strike/>
          <w:sz w:val="22"/>
          <w:szCs w:val="22"/>
          <w:highlight w:val="yellow"/>
        </w:rPr>
        <w:t>-hour limit is the NSPS Subpart JJJJ standard, however the “g/</w:t>
      </w:r>
      <w:proofErr w:type="spellStart"/>
      <w:r w:rsidRPr="000D1107">
        <w:rPr>
          <w:i/>
          <w:strike/>
          <w:sz w:val="22"/>
          <w:szCs w:val="22"/>
          <w:highlight w:val="yellow"/>
        </w:rPr>
        <w:t>bhp</w:t>
      </w:r>
      <w:proofErr w:type="spellEnd"/>
      <w:r w:rsidRPr="000D1107">
        <w:rPr>
          <w:i/>
          <w:strike/>
          <w:sz w:val="22"/>
          <w:szCs w:val="22"/>
          <w:highlight w:val="yellow"/>
        </w:rPr>
        <w:t>-hour” and “lb/hour” limits allow the project to avoid PSD preconstruction review for VOC emissions.}</w:t>
      </w:r>
      <w:r w:rsidRPr="000D1107">
        <w:rPr>
          <w:strike/>
          <w:sz w:val="22"/>
          <w:szCs w:val="22"/>
          <w:highlight w:val="yellow"/>
        </w:rPr>
        <w:t xml:space="preserve">  [NESHAP Subparts A and JJJJ in 40 CFR 63 and Rules 62-204.800 and 62-212.400(12), F.A.C.] </w:t>
      </w:r>
    </w:p>
    <w:p w:rsidR="000D1107" w:rsidRPr="000D1107" w:rsidRDefault="000D1107" w:rsidP="000D1107">
      <w:pPr>
        <w:numPr>
          <w:ilvl w:val="0"/>
          <w:numId w:val="38"/>
        </w:numPr>
        <w:spacing w:after="120"/>
        <w:rPr>
          <w:strike/>
          <w:sz w:val="22"/>
          <w:highlight w:val="yellow"/>
        </w:rPr>
      </w:pPr>
      <w:r w:rsidRPr="000D1107">
        <w:rPr>
          <w:strike/>
          <w:sz w:val="22"/>
          <w:szCs w:val="22"/>
          <w:highlight w:val="yellow"/>
          <w:u w:val="single"/>
        </w:rPr>
        <w:lastRenderedPageBreak/>
        <w:t>Sulfur Dioxide (SO</w:t>
      </w:r>
      <w:r w:rsidRPr="000D1107">
        <w:rPr>
          <w:strike/>
          <w:sz w:val="12"/>
          <w:szCs w:val="12"/>
          <w:highlight w:val="yellow"/>
          <w:u w:val="single"/>
        </w:rPr>
        <w:t>2</w:t>
      </w:r>
      <w:r w:rsidRPr="000D1107">
        <w:rPr>
          <w:strike/>
          <w:sz w:val="22"/>
          <w:szCs w:val="22"/>
          <w:highlight w:val="yellow"/>
          <w:u w:val="single"/>
        </w:rPr>
        <w:t>)</w:t>
      </w:r>
      <w:r w:rsidRPr="000D1107">
        <w:rPr>
          <w:strike/>
          <w:sz w:val="22"/>
          <w:szCs w:val="22"/>
          <w:highlight w:val="yellow"/>
        </w:rPr>
        <w:t xml:space="preserve">:  </w:t>
      </w:r>
      <w:r w:rsidRPr="000D1107">
        <w:rPr>
          <w:strike/>
          <w:sz w:val="22"/>
          <w:highlight w:val="yellow"/>
        </w:rPr>
        <w:t>Sulfur</w:t>
      </w:r>
      <w:r w:rsidRPr="000D1107">
        <w:rPr>
          <w:strike/>
          <w:sz w:val="22"/>
          <w:szCs w:val="22"/>
          <w:highlight w:val="yellow"/>
        </w:rPr>
        <w:t xml:space="preserve"> dioxide emissions from all four engines shall not exceed 16.6 tons during any rolling 12 months.  Emissions shall be calculated based on the representative sulfur content of each fuel and the actual monthly fuel consumption rate of each fuel based on the following:</w:t>
      </w:r>
      <w:r w:rsidRPr="000D1107">
        <w:rPr>
          <w:strike/>
          <w:sz w:val="22"/>
          <w:highlight w:val="yellow"/>
        </w:rPr>
        <w:t xml:space="preserve"> </w:t>
      </w:r>
    </w:p>
    <w:p w:rsidR="000D1107" w:rsidRPr="000D1107" w:rsidRDefault="000D1107" w:rsidP="000D1107">
      <w:pPr>
        <w:numPr>
          <w:ilvl w:val="0"/>
          <w:numId w:val="39"/>
        </w:numPr>
        <w:spacing w:after="120"/>
        <w:rPr>
          <w:strike/>
          <w:sz w:val="22"/>
          <w:szCs w:val="22"/>
          <w:highlight w:val="yellow"/>
        </w:rPr>
      </w:pPr>
      <w:r w:rsidRPr="000D1107">
        <w:rPr>
          <w:strike/>
          <w:sz w:val="22"/>
          <w:szCs w:val="22"/>
          <w:highlight w:val="yellow"/>
        </w:rPr>
        <w:t>LFG:  The representative sulfur content for a given month shall be the sulfur content determined from sampling and analysis within the same semiannual period.</w:t>
      </w:r>
    </w:p>
    <w:p w:rsidR="000D1107" w:rsidRPr="000D1107" w:rsidRDefault="000D1107" w:rsidP="000D1107">
      <w:pPr>
        <w:numPr>
          <w:ilvl w:val="0"/>
          <w:numId w:val="39"/>
        </w:numPr>
        <w:spacing w:after="120"/>
        <w:rPr>
          <w:strike/>
          <w:sz w:val="22"/>
          <w:szCs w:val="22"/>
          <w:highlight w:val="yellow"/>
        </w:rPr>
      </w:pPr>
      <w:r w:rsidRPr="000D1107">
        <w:rPr>
          <w:strike/>
          <w:sz w:val="22"/>
          <w:szCs w:val="22"/>
          <w:highlight w:val="yellow"/>
        </w:rPr>
        <w:t xml:space="preserve">Fuel Consumption:  The monthly fuel consumption shall be determined from the fuel flow monitors. </w:t>
      </w:r>
    </w:p>
    <w:p w:rsidR="000D1107" w:rsidRPr="000D1107" w:rsidRDefault="000D1107" w:rsidP="000D1107">
      <w:pPr>
        <w:spacing w:after="120"/>
        <w:ind w:left="360"/>
        <w:rPr>
          <w:strike/>
          <w:sz w:val="22"/>
          <w:szCs w:val="22"/>
          <w:highlight w:val="yellow"/>
        </w:rPr>
      </w:pPr>
      <w:r w:rsidRPr="000D1107">
        <w:rPr>
          <w:strike/>
          <w:sz w:val="22"/>
          <w:szCs w:val="22"/>
          <w:highlight w:val="yellow"/>
        </w:rPr>
        <w:t>Compliance with the SO</w:t>
      </w:r>
      <w:r w:rsidRPr="000D1107">
        <w:rPr>
          <w:strike/>
          <w:sz w:val="22"/>
          <w:szCs w:val="22"/>
          <w:highlight w:val="yellow"/>
          <w:vertAlign w:val="subscript"/>
        </w:rPr>
        <w:t>2</w:t>
      </w:r>
      <w:r w:rsidRPr="000D1107">
        <w:rPr>
          <w:strike/>
          <w:sz w:val="22"/>
          <w:szCs w:val="22"/>
          <w:highlight w:val="yellow"/>
        </w:rPr>
        <w:t xml:space="preserve"> emissions cap shall be determined by summing the calculated monthly SO</w:t>
      </w:r>
      <w:r w:rsidRPr="000D1107">
        <w:rPr>
          <w:strike/>
          <w:sz w:val="22"/>
          <w:szCs w:val="22"/>
          <w:highlight w:val="yellow"/>
          <w:vertAlign w:val="subscript"/>
        </w:rPr>
        <w:t>2</w:t>
      </w:r>
      <w:r w:rsidRPr="000D1107">
        <w:rPr>
          <w:strike/>
          <w:sz w:val="22"/>
          <w:szCs w:val="22"/>
          <w:highlight w:val="yellow"/>
        </w:rPr>
        <w:t xml:space="preserve"> emissions from each fuel based on stoichiometry for a rolling 12-month period.  </w:t>
      </w:r>
      <w:r w:rsidRPr="000D1107">
        <w:rPr>
          <w:i/>
          <w:strike/>
          <w:sz w:val="22"/>
          <w:szCs w:val="22"/>
          <w:highlight w:val="yellow"/>
        </w:rPr>
        <w:t>{Permitting Note: The project avoids PSD review based on this emissions cap.}</w:t>
      </w:r>
      <w:r w:rsidRPr="000D1107">
        <w:rPr>
          <w:strike/>
          <w:sz w:val="22"/>
          <w:szCs w:val="22"/>
          <w:highlight w:val="yellow"/>
        </w:rPr>
        <w:t xml:space="preserve">  [Rule 62-212.400(12</w:t>
      </w:r>
      <w:proofErr w:type="gramStart"/>
      <w:r w:rsidRPr="000D1107">
        <w:rPr>
          <w:strike/>
          <w:sz w:val="22"/>
          <w:szCs w:val="22"/>
          <w:highlight w:val="yellow"/>
        </w:rPr>
        <w:t>)(</w:t>
      </w:r>
      <w:proofErr w:type="gramEnd"/>
      <w:r w:rsidRPr="000D1107">
        <w:rPr>
          <w:strike/>
          <w:sz w:val="22"/>
          <w:szCs w:val="22"/>
          <w:highlight w:val="yellow"/>
        </w:rPr>
        <w:t>Source Obligation), F.A.C.]</w:t>
      </w:r>
    </w:p>
    <w:p w:rsidR="000D1107" w:rsidRPr="000D1107" w:rsidRDefault="000D1107" w:rsidP="000D1107">
      <w:pPr>
        <w:numPr>
          <w:ilvl w:val="0"/>
          <w:numId w:val="38"/>
        </w:numPr>
        <w:spacing w:after="120"/>
        <w:rPr>
          <w:strike/>
          <w:sz w:val="22"/>
          <w:highlight w:val="yellow"/>
        </w:rPr>
      </w:pPr>
      <w:r w:rsidRPr="000D1107">
        <w:rPr>
          <w:strike/>
          <w:sz w:val="22"/>
          <w:highlight w:val="yellow"/>
          <w:u w:val="single"/>
        </w:rPr>
        <w:t>Hydrogen Chloride (HCl)</w:t>
      </w:r>
      <w:r w:rsidRPr="000D1107">
        <w:rPr>
          <w:strike/>
          <w:sz w:val="22"/>
          <w:highlight w:val="yellow"/>
        </w:rPr>
        <w:t xml:space="preserve">:  Hydrogen chloride </w:t>
      </w:r>
      <w:r w:rsidRPr="000D1107">
        <w:rPr>
          <w:strike/>
          <w:sz w:val="22"/>
          <w:szCs w:val="22"/>
          <w:highlight w:val="yellow"/>
        </w:rPr>
        <w:t xml:space="preserve">emissions from the facility shall not exceed 9.0 tons during any rolling 12 months.  </w:t>
      </w:r>
      <w:r w:rsidRPr="000D1107">
        <w:rPr>
          <w:strike/>
          <w:sz w:val="22"/>
          <w:highlight w:val="yellow"/>
        </w:rPr>
        <w:t>Emissions</w:t>
      </w:r>
      <w:r w:rsidRPr="000D1107">
        <w:rPr>
          <w:strike/>
          <w:sz w:val="22"/>
          <w:szCs w:val="22"/>
          <w:highlight w:val="yellow"/>
        </w:rPr>
        <w:t xml:space="preserve"> shall be calculated based on the representative chlorine content of LFG and the actual monthly fuel consumption rate of the engines and the amount flared based on the following:</w:t>
      </w:r>
      <w:r w:rsidRPr="000D1107">
        <w:rPr>
          <w:strike/>
          <w:sz w:val="22"/>
          <w:highlight w:val="yellow"/>
        </w:rPr>
        <w:t xml:space="preserve"> </w:t>
      </w:r>
    </w:p>
    <w:p w:rsidR="000D1107" w:rsidRPr="000D1107" w:rsidRDefault="000D1107" w:rsidP="000D1107">
      <w:pPr>
        <w:numPr>
          <w:ilvl w:val="0"/>
          <w:numId w:val="40"/>
        </w:numPr>
        <w:spacing w:after="120"/>
        <w:rPr>
          <w:strike/>
          <w:sz w:val="22"/>
          <w:szCs w:val="22"/>
          <w:highlight w:val="yellow"/>
        </w:rPr>
      </w:pPr>
      <w:r w:rsidRPr="000D1107">
        <w:rPr>
          <w:strike/>
          <w:sz w:val="22"/>
          <w:szCs w:val="22"/>
          <w:highlight w:val="yellow"/>
        </w:rPr>
        <w:t>LFG:  The representative chlorine content for a given month shall be the chlorine content determined from sampling and analysis within the same semiannual period.</w:t>
      </w:r>
    </w:p>
    <w:p w:rsidR="000D1107" w:rsidRPr="000D1107" w:rsidRDefault="000D1107" w:rsidP="000D1107">
      <w:pPr>
        <w:numPr>
          <w:ilvl w:val="0"/>
          <w:numId w:val="40"/>
        </w:numPr>
        <w:spacing w:after="120"/>
        <w:rPr>
          <w:strike/>
          <w:sz w:val="22"/>
          <w:szCs w:val="22"/>
          <w:highlight w:val="yellow"/>
        </w:rPr>
      </w:pPr>
      <w:r w:rsidRPr="000D1107">
        <w:rPr>
          <w:strike/>
          <w:sz w:val="22"/>
          <w:szCs w:val="22"/>
          <w:highlight w:val="yellow"/>
        </w:rPr>
        <w:t>Fuel Consumption:  The monthly fuel consumption shall be determined from the fuel flow monitors on the engines as well as the flares.</w:t>
      </w:r>
    </w:p>
    <w:p w:rsidR="000D1107" w:rsidRPr="000D1107" w:rsidRDefault="000D1107" w:rsidP="000D1107">
      <w:pPr>
        <w:spacing w:after="120"/>
        <w:ind w:left="360"/>
        <w:rPr>
          <w:i/>
          <w:strike/>
          <w:sz w:val="22"/>
          <w:highlight w:val="yellow"/>
        </w:rPr>
      </w:pPr>
      <w:r w:rsidRPr="000D1107">
        <w:rPr>
          <w:strike/>
          <w:sz w:val="22"/>
          <w:szCs w:val="22"/>
          <w:highlight w:val="yellow"/>
        </w:rPr>
        <w:t xml:space="preserve">Compliance with the HCl emissions cap shall be determined by summing the calculated monthly HCl emissions from LFG based on stoichiometry for a rolling 12-month period.  </w:t>
      </w:r>
      <w:r w:rsidRPr="000D1107">
        <w:rPr>
          <w:i/>
          <w:strike/>
          <w:sz w:val="22"/>
          <w:highlight w:val="yellow"/>
        </w:rPr>
        <w:t>{Permitting Note:  This emissions cap ensures that the facility remains an area source of HAP emissions with regard to NESHAP Subpart ZZZZ in 40 CFR 63 (less than 10 tons per year of any single HAP and less than 25 tons per year for the combination of all HAPs)}.</w:t>
      </w:r>
      <w:r w:rsidRPr="000D1107">
        <w:rPr>
          <w:strike/>
          <w:sz w:val="22"/>
          <w:szCs w:val="22"/>
          <w:highlight w:val="yellow"/>
        </w:rPr>
        <w:t xml:space="preserve">  [Applicant Request and Rule 62-4.070(3), F.A.C.]</w:t>
      </w:r>
    </w:p>
    <w:p w:rsidR="000D1107" w:rsidRPr="000D1107" w:rsidRDefault="000D1107" w:rsidP="000D1107">
      <w:pPr>
        <w:numPr>
          <w:ilvl w:val="0"/>
          <w:numId w:val="38"/>
        </w:numPr>
        <w:spacing w:after="120"/>
        <w:rPr>
          <w:strike/>
          <w:sz w:val="22"/>
          <w:highlight w:val="yellow"/>
        </w:rPr>
      </w:pPr>
      <w:r w:rsidRPr="000D1107">
        <w:rPr>
          <w:strike/>
          <w:sz w:val="22"/>
          <w:highlight w:val="yellow"/>
          <w:u w:val="single"/>
        </w:rPr>
        <w:t>Visible emissions</w:t>
      </w:r>
      <w:r w:rsidRPr="000D1107">
        <w:rPr>
          <w:strike/>
          <w:sz w:val="22"/>
          <w:highlight w:val="yellow"/>
        </w:rPr>
        <w:t xml:space="preserve">:  Visible emissions from each engine/generator set exhaust shall not exceed 10% opacity.  [Rule 62-212.400, F.A.C.]  </w:t>
      </w:r>
    </w:p>
    <w:p w:rsidR="000D1107" w:rsidRPr="000D1107" w:rsidRDefault="000D1107" w:rsidP="000D1107">
      <w:pPr>
        <w:spacing w:before="120" w:after="120"/>
        <w:rPr>
          <w:b/>
          <w:strike/>
          <w:sz w:val="22"/>
          <w:highlight w:val="yellow"/>
        </w:rPr>
      </w:pPr>
      <w:r w:rsidRPr="000D1107">
        <w:rPr>
          <w:b/>
          <w:strike/>
          <w:sz w:val="22"/>
          <w:highlight w:val="yellow"/>
        </w:rPr>
        <w:t>EXCESS EMISSIONS</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Excess Emissions Allowed</w:t>
      </w:r>
      <w:r w:rsidRPr="000D1107">
        <w:rPr>
          <w:strike/>
          <w:sz w:val="22"/>
          <w:szCs w:val="22"/>
          <w:highlight w:val="yellow"/>
        </w:rPr>
        <w:t xml:space="preserve">:  Excess CO and NOx emissions (as specified in this subsection) resulting from startup, shutdown or malfunction of any emissions unit shall be permitted providing best operational practices to minimize emissions are adhered to and: </w:t>
      </w:r>
    </w:p>
    <w:p w:rsidR="000D1107" w:rsidRPr="000D1107" w:rsidRDefault="000D1107" w:rsidP="000D1107">
      <w:pPr>
        <w:numPr>
          <w:ilvl w:val="0"/>
          <w:numId w:val="41"/>
        </w:numPr>
        <w:spacing w:after="120"/>
        <w:rPr>
          <w:strike/>
          <w:sz w:val="22"/>
          <w:szCs w:val="22"/>
          <w:highlight w:val="yellow"/>
        </w:rPr>
      </w:pPr>
      <w:r w:rsidRPr="000D1107">
        <w:rPr>
          <w:strike/>
          <w:sz w:val="22"/>
          <w:szCs w:val="22"/>
          <w:highlight w:val="yellow"/>
        </w:rPr>
        <w:t>To the extent practicable, the operator shall strive to complete engines startups within 30 minutes; and</w:t>
      </w:r>
    </w:p>
    <w:p w:rsidR="000D1107" w:rsidRPr="000D1107" w:rsidRDefault="000D1107" w:rsidP="000D1107">
      <w:pPr>
        <w:numPr>
          <w:ilvl w:val="0"/>
          <w:numId w:val="41"/>
        </w:numPr>
        <w:tabs>
          <w:tab w:val="left" w:pos="720"/>
        </w:tabs>
        <w:spacing w:after="120"/>
        <w:rPr>
          <w:strike/>
          <w:sz w:val="22"/>
          <w:szCs w:val="22"/>
          <w:highlight w:val="yellow"/>
        </w:rPr>
      </w:pPr>
      <w:r w:rsidRPr="000D1107">
        <w:rPr>
          <w:strike/>
          <w:sz w:val="22"/>
          <w:szCs w:val="22"/>
          <w:highlight w:val="yellow"/>
        </w:rPr>
        <w:t>The duration of excess emissions due to malfunctions shall be minimized but in no case exceed two hours in any 24-hour period.</w:t>
      </w:r>
    </w:p>
    <w:p w:rsidR="000D1107" w:rsidRPr="000D1107" w:rsidRDefault="000D1107" w:rsidP="000D1107">
      <w:pPr>
        <w:tabs>
          <w:tab w:val="left" w:pos="720"/>
        </w:tabs>
        <w:spacing w:after="120"/>
        <w:ind w:left="360"/>
        <w:rPr>
          <w:strike/>
          <w:sz w:val="22"/>
          <w:szCs w:val="22"/>
          <w:highlight w:val="yellow"/>
        </w:rPr>
      </w:pPr>
      <w:r w:rsidRPr="000D1107">
        <w:rPr>
          <w:strike/>
          <w:sz w:val="22"/>
          <w:szCs w:val="22"/>
          <w:highlight w:val="yellow"/>
        </w:rPr>
        <w:t>[Rule 62-210.</w:t>
      </w:r>
      <w:r w:rsidRPr="000D1107">
        <w:rPr>
          <w:strike/>
          <w:sz w:val="22"/>
          <w:highlight w:val="yellow"/>
        </w:rPr>
        <w:t>700(1), F.A.C.]</w:t>
      </w:r>
    </w:p>
    <w:p w:rsidR="000D1107" w:rsidRPr="000D1107" w:rsidRDefault="000D1107" w:rsidP="000D1107">
      <w:pPr>
        <w:spacing w:before="120" w:after="120"/>
        <w:rPr>
          <w:b/>
          <w:caps/>
          <w:strike/>
          <w:sz w:val="22"/>
          <w:szCs w:val="22"/>
          <w:highlight w:val="yellow"/>
        </w:rPr>
      </w:pPr>
      <w:r w:rsidRPr="000D1107">
        <w:rPr>
          <w:b/>
          <w:caps/>
          <w:strike/>
          <w:sz w:val="22"/>
          <w:szCs w:val="22"/>
          <w:highlight w:val="yellow"/>
        </w:rPr>
        <w:t>Testing Requirements</w:t>
      </w:r>
    </w:p>
    <w:p w:rsidR="000D1107" w:rsidRPr="000D1107" w:rsidRDefault="000D1107" w:rsidP="000D1107">
      <w:pPr>
        <w:numPr>
          <w:ilvl w:val="0"/>
          <w:numId w:val="38"/>
        </w:numPr>
        <w:spacing w:after="120"/>
        <w:rPr>
          <w:strike/>
          <w:sz w:val="22"/>
          <w:szCs w:val="22"/>
          <w:highlight w:val="yellow"/>
        </w:rPr>
      </w:pPr>
      <w:r w:rsidRPr="000D1107">
        <w:rPr>
          <w:strike/>
          <w:sz w:val="22"/>
          <w:highlight w:val="yellow"/>
          <w:u w:val="single"/>
        </w:rPr>
        <w:t>Initial Compliance Tests</w:t>
      </w:r>
      <w:r w:rsidRPr="000D1107">
        <w:rPr>
          <w:strike/>
          <w:sz w:val="22"/>
          <w:highlight w:val="yellow"/>
        </w:rPr>
        <w:t xml:space="preserve">:  </w:t>
      </w:r>
      <w:r w:rsidRPr="000D1107">
        <w:rPr>
          <w:strike/>
          <w:sz w:val="22"/>
          <w:szCs w:val="22"/>
          <w:highlight w:val="yellow"/>
        </w:rPr>
        <w:t>Each landfill gas engine shall be tested to demonstrate initial compliance with the emissions standards for CO, NOx and VOC under 40 CFR 60, Subpart JJJJ as well as the BACT standards of this permit.  In addition, each unit shall be tested for opacity in accordance with EPA Method 9.  The initial performance test must be conducted within 60 days after achieving permitted capacity, but not later than 180 days after initial startup of each unit.</w:t>
      </w:r>
      <w:r w:rsidRPr="000D1107">
        <w:rPr>
          <w:i/>
          <w:strike/>
          <w:sz w:val="22"/>
          <w:szCs w:val="22"/>
          <w:highlight w:val="yellow"/>
        </w:rPr>
        <w:t xml:space="preserve">  {Permitting Note:  Since the BACT emission standards are more stringent than 40 CFR 60, Subpart JJJJ emission standards, compliance with the BACT emission standards will satisfy compliance with the 40 CFR 60, Subpart JJJJ emission standards.}</w:t>
      </w:r>
      <w:r w:rsidRPr="000D1107">
        <w:rPr>
          <w:strike/>
          <w:sz w:val="22"/>
          <w:szCs w:val="22"/>
          <w:highlight w:val="yellow"/>
        </w:rPr>
        <w:t xml:space="preserve">  [Rules 62-212.400(BACT), 62-297.310(7)(a)1, F.A.C. and NSPS Subpart JJJJ in 40 CFR 60]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lastRenderedPageBreak/>
        <w:t>Periodic Compliance Tests</w:t>
      </w:r>
      <w:r w:rsidRPr="000D1107">
        <w:rPr>
          <w:strike/>
          <w:sz w:val="22"/>
          <w:szCs w:val="22"/>
          <w:highlight w:val="yellow"/>
        </w:rPr>
        <w:t>:  Every 8,760 engine hours or at least once every three years, whichever comes first, each landfill gas engine shall be tested to demonstrate compliance with the emissions standards for CO, NOx and VOC under 40 CFR 60, Subpart JJJJ as well as the BACT standards of this permit.  During these periodic tests, at least one landfill gas engine shall also be tested for opacity in accordance with EPA Method 9.</w:t>
      </w:r>
      <w:r w:rsidRPr="000D1107">
        <w:rPr>
          <w:i/>
          <w:strike/>
          <w:sz w:val="22"/>
          <w:szCs w:val="22"/>
          <w:highlight w:val="yellow"/>
        </w:rPr>
        <w:t xml:space="preserve">  {Permitting Note:  Since the BACT emission standards are more stringent than 40 CFR 60, Subpart JJJJ emission standards, compliance with the BACT emission standards will satisfy compliance with the 40 CFR 60, Subpart JJJJ emission standards.}</w:t>
      </w:r>
      <w:r w:rsidRPr="000D1107">
        <w:rPr>
          <w:strike/>
          <w:sz w:val="22"/>
          <w:szCs w:val="22"/>
          <w:highlight w:val="yellow"/>
        </w:rPr>
        <w:t xml:space="preserve">  [Rules 62-212.400(BACT), 62-297.310(7)(a)1 and 4, F.A.C., and NSPS Subpart JJJJ in 40 CFR 60] </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Test Requirements</w:t>
      </w:r>
      <w:r w:rsidRPr="000D1107">
        <w:rPr>
          <w:strike/>
          <w:sz w:val="22"/>
          <w:szCs w:val="22"/>
          <w:highlight w:val="yellow"/>
        </w:rPr>
        <w:t xml:space="preserve">:  During each required compliance stack test, the permittee shall operate a tested landfill gas engine at permitted capacity (90% to 100% of 2,233 </w:t>
      </w:r>
      <w:proofErr w:type="spellStart"/>
      <w:r w:rsidRPr="000D1107">
        <w:rPr>
          <w:strike/>
          <w:sz w:val="22"/>
          <w:szCs w:val="22"/>
          <w:highlight w:val="yellow"/>
        </w:rPr>
        <w:t>bhp</w:t>
      </w:r>
      <w:proofErr w:type="spellEnd"/>
      <w:r w:rsidRPr="000D1107">
        <w:rPr>
          <w:strike/>
          <w:sz w:val="22"/>
          <w:szCs w:val="22"/>
          <w:highlight w:val="yellow"/>
        </w:rPr>
        <w:t xml:space="preserve">).  The permittee shall notify the Compliance Authority in writing at least 15 days prior to any scheduled stack tests.  Tests shall be conducted in accordance with the applicable requirements specified in Appendix D (Common Testing Requirements) of this permit.  </w:t>
      </w:r>
      <w:r w:rsidRPr="000D1107">
        <w:rPr>
          <w:i/>
          <w:strike/>
          <w:sz w:val="22"/>
          <w:szCs w:val="22"/>
          <w:highlight w:val="yellow"/>
        </w:rPr>
        <w:t>{Permitting Note:  Although the NSPS provides for a 30-day test notification, a 15-day notice is sufficient in Florida.}</w:t>
      </w:r>
      <w:r w:rsidRPr="000D1107">
        <w:rPr>
          <w:strike/>
          <w:sz w:val="22"/>
          <w:szCs w:val="22"/>
          <w:highlight w:val="yellow"/>
        </w:rPr>
        <w:t xml:space="preserve">  [Rule 62-297.310(7</w:t>
      </w:r>
      <w:proofErr w:type="gramStart"/>
      <w:r w:rsidRPr="000D1107">
        <w:rPr>
          <w:strike/>
          <w:sz w:val="22"/>
          <w:szCs w:val="22"/>
          <w:highlight w:val="yellow"/>
        </w:rPr>
        <w:t>)(</w:t>
      </w:r>
      <w:proofErr w:type="gramEnd"/>
      <w:r w:rsidRPr="000D1107">
        <w:rPr>
          <w:strike/>
          <w:sz w:val="22"/>
          <w:szCs w:val="22"/>
          <w:highlight w:val="yellow"/>
        </w:rPr>
        <w:t>a)9, F.A.C.]</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Test Methods</w:t>
      </w:r>
      <w:r w:rsidRPr="000D1107">
        <w:rPr>
          <w:strike/>
          <w:sz w:val="22"/>
          <w:szCs w:val="22"/>
          <w:highlight w:val="yellow"/>
        </w:rPr>
        <w:t>:  Tests required by this permit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15"/>
        <w:gridCol w:w="8769"/>
      </w:tblGrid>
      <w:tr w:rsidR="000D1107" w:rsidRPr="000D1107" w:rsidTr="00F70454">
        <w:trPr>
          <w:tblHeader/>
        </w:trPr>
        <w:tc>
          <w:tcPr>
            <w:tcW w:w="915" w:type="dxa"/>
            <w:tcBorders>
              <w:top w:val="single" w:sz="12" w:space="0" w:color="auto"/>
              <w:left w:val="single" w:sz="12" w:space="0" w:color="auto"/>
              <w:bottom w:val="single" w:sz="8" w:space="0" w:color="auto"/>
              <w:right w:val="single" w:sz="12" w:space="0" w:color="auto"/>
            </w:tcBorders>
          </w:tcPr>
          <w:p w:rsidR="000D1107" w:rsidRPr="000D1107" w:rsidRDefault="000D1107" w:rsidP="00F70454">
            <w:pPr>
              <w:jc w:val="center"/>
              <w:rPr>
                <w:b/>
                <w:strike/>
                <w:highlight w:val="yellow"/>
              </w:rPr>
            </w:pPr>
            <w:r w:rsidRPr="000D1107">
              <w:rPr>
                <w:b/>
                <w:strike/>
                <w:highlight w:val="yellow"/>
              </w:rPr>
              <w:t>Method</w:t>
            </w:r>
          </w:p>
        </w:tc>
        <w:tc>
          <w:tcPr>
            <w:tcW w:w="8769" w:type="dxa"/>
            <w:tcBorders>
              <w:top w:val="single" w:sz="12" w:space="0" w:color="auto"/>
              <w:left w:val="single" w:sz="12" w:space="0" w:color="auto"/>
              <w:bottom w:val="single" w:sz="8" w:space="0" w:color="auto"/>
              <w:right w:val="single" w:sz="12" w:space="0" w:color="auto"/>
            </w:tcBorders>
          </w:tcPr>
          <w:p w:rsidR="000D1107" w:rsidRPr="000D1107" w:rsidRDefault="000D1107" w:rsidP="00F70454">
            <w:pPr>
              <w:rPr>
                <w:b/>
                <w:strike/>
                <w:highlight w:val="yellow"/>
              </w:rPr>
            </w:pPr>
            <w:r w:rsidRPr="000D1107">
              <w:rPr>
                <w:b/>
                <w:strike/>
                <w:highlight w:val="yellow"/>
              </w:rPr>
              <w:t>Description of Method and Comments</w:t>
            </w:r>
          </w:p>
        </w:tc>
      </w:tr>
      <w:tr w:rsidR="000D1107" w:rsidRPr="000D1107" w:rsidTr="00F70454">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1 - 4</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Traverse Points, Velocity and Flow Rate, Gas Analysis, and Moisture Content</w:t>
            </w:r>
          </w:p>
        </w:tc>
      </w:tr>
      <w:tr w:rsidR="000D1107" w:rsidRPr="000D1107" w:rsidTr="00F70454">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7 or 7E</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Determination of Nitrogen Oxide Emissions from Stationary Sources</w:t>
            </w:r>
          </w:p>
        </w:tc>
      </w:tr>
      <w:tr w:rsidR="000D1107" w:rsidRPr="000D1107" w:rsidTr="00F70454">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9</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Visual Determination of the Opacity of Emissions from Stationary Sources</w:t>
            </w:r>
          </w:p>
        </w:tc>
      </w:tr>
      <w:tr w:rsidR="000D1107" w:rsidRPr="000D1107" w:rsidTr="00F70454">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10</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Determination of Carbon Monoxide Emissions from Stationary Sources</w:t>
            </w:r>
          </w:p>
          <w:p w:rsidR="000D1107" w:rsidRPr="000D1107" w:rsidRDefault="000D1107" w:rsidP="00F70454">
            <w:pPr>
              <w:rPr>
                <w:strike/>
                <w:highlight w:val="yellow"/>
              </w:rPr>
            </w:pPr>
            <w:r w:rsidRPr="000D1107">
              <w:rPr>
                <w:strike/>
                <w:highlight w:val="yellow"/>
              </w:rPr>
              <w:t>{Note:  The method shall be based on a continuous sampling train.}</w:t>
            </w:r>
          </w:p>
        </w:tc>
      </w:tr>
      <w:tr w:rsidR="000D1107" w:rsidRPr="000D1107" w:rsidTr="00F70454">
        <w:trPr>
          <w:trHeight w:val="737"/>
        </w:trPr>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19</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0D1107" w:rsidRPr="000D1107" w:rsidTr="00F70454">
        <w:trPr>
          <w:trHeight w:val="558"/>
        </w:trPr>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18</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 xml:space="preserve">Measurement of Gaseous organic Compound Emissions by Gas </w:t>
            </w:r>
            <w:proofErr w:type="gramStart"/>
            <w:r w:rsidRPr="000D1107">
              <w:rPr>
                <w:strike/>
                <w:highlight w:val="yellow"/>
              </w:rPr>
              <w:t xml:space="preserve">Chromatography  </w:t>
            </w:r>
            <w:r w:rsidRPr="000D1107">
              <w:rPr>
                <w:i/>
                <w:strike/>
                <w:highlight w:val="yellow"/>
              </w:rPr>
              <w:t>{</w:t>
            </w:r>
            <w:proofErr w:type="gramEnd"/>
            <w:r w:rsidRPr="000D1107">
              <w:rPr>
                <w:i/>
                <w:strike/>
                <w:highlight w:val="yellow"/>
              </w:rPr>
              <w:t>Note: the emission standards are based on VOC measured as methane.}</w:t>
            </w:r>
          </w:p>
        </w:tc>
      </w:tr>
      <w:tr w:rsidR="000D1107" w:rsidRPr="000D1107" w:rsidTr="00F70454">
        <w:trPr>
          <w:trHeight w:val="522"/>
        </w:trPr>
        <w:tc>
          <w:tcPr>
            <w:tcW w:w="915"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jc w:val="center"/>
              <w:rPr>
                <w:strike/>
                <w:highlight w:val="yellow"/>
              </w:rPr>
            </w:pPr>
            <w:r w:rsidRPr="000D1107">
              <w:rPr>
                <w:strike/>
                <w:highlight w:val="yellow"/>
              </w:rPr>
              <w:t>25A</w:t>
            </w:r>
          </w:p>
        </w:tc>
        <w:tc>
          <w:tcPr>
            <w:tcW w:w="8769" w:type="dxa"/>
            <w:tcBorders>
              <w:top w:val="single" w:sz="8" w:space="0" w:color="auto"/>
              <w:left w:val="single" w:sz="12" w:space="0" w:color="auto"/>
              <w:bottom w:val="single" w:sz="8" w:space="0" w:color="auto"/>
              <w:right w:val="single" w:sz="12" w:space="0" w:color="auto"/>
            </w:tcBorders>
          </w:tcPr>
          <w:p w:rsidR="000D1107" w:rsidRPr="000D1107" w:rsidRDefault="000D1107" w:rsidP="00F70454">
            <w:pPr>
              <w:rPr>
                <w:strike/>
                <w:highlight w:val="yellow"/>
              </w:rPr>
            </w:pPr>
            <w:r w:rsidRPr="000D1107">
              <w:rPr>
                <w:strike/>
                <w:highlight w:val="yellow"/>
              </w:rPr>
              <w:t xml:space="preserve">Determination of Total Gaseous Organic Concentration Using a Flame Ionization </w:t>
            </w:r>
            <w:proofErr w:type="gramStart"/>
            <w:r w:rsidRPr="000D1107">
              <w:rPr>
                <w:strike/>
                <w:highlight w:val="yellow"/>
              </w:rPr>
              <w:t xml:space="preserve">Analyzer  </w:t>
            </w:r>
            <w:r w:rsidRPr="000D1107">
              <w:rPr>
                <w:i/>
                <w:strike/>
                <w:highlight w:val="yellow"/>
              </w:rPr>
              <w:t>{</w:t>
            </w:r>
            <w:proofErr w:type="gramEnd"/>
            <w:r w:rsidRPr="000D1107">
              <w:rPr>
                <w:i/>
                <w:strike/>
                <w:highlight w:val="yellow"/>
              </w:rPr>
              <w:t>Note: the emission standards are based on VOC measured as methane.}</w:t>
            </w:r>
          </w:p>
        </w:tc>
      </w:tr>
      <w:tr w:rsidR="000D1107" w:rsidRPr="000D1107" w:rsidTr="00F70454">
        <w:trPr>
          <w:trHeight w:val="522"/>
        </w:trPr>
        <w:tc>
          <w:tcPr>
            <w:tcW w:w="915" w:type="dxa"/>
            <w:tcBorders>
              <w:top w:val="single" w:sz="8" w:space="0" w:color="auto"/>
              <w:left w:val="single" w:sz="12" w:space="0" w:color="auto"/>
              <w:bottom w:val="single" w:sz="12" w:space="0" w:color="auto"/>
              <w:right w:val="single" w:sz="12" w:space="0" w:color="auto"/>
            </w:tcBorders>
          </w:tcPr>
          <w:p w:rsidR="000D1107" w:rsidRPr="000D1107" w:rsidRDefault="000D1107" w:rsidP="00F70454">
            <w:pPr>
              <w:jc w:val="center"/>
              <w:rPr>
                <w:strike/>
                <w:highlight w:val="yellow"/>
              </w:rPr>
            </w:pPr>
            <w:r w:rsidRPr="000D1107">
              <w:rPr>
                <w:strike/>
                <w:highlight w:val="yellow"/>
              </w:rPr>
              <w:t>ALT-078</w:t>
            </w:r>
          </w:p>
        </w:tc>
        <w:tc>
          <w:tcPr>
            <w:tcW w:w="8769" w:type="dxa"/>
            <w:tcBorders>
              <w:top w:val="single" w:sz="8" w:space="0" w:color="auto"/>
              <w:left w:val="single" w:sz="12" w:space="0" w:color="auto"/>
              <w:bottom w:val="single" w:sz="12" w:space="0" w:color="auto"/>
              <w:right w:val="single" w:sz="12" w:space="0" w:color="auto"/>
            </w:tcBorders>
          </w:tcPr>
          <w:p w:rsidR="000D1107" w:rsidRPr="000D1107" w:rsidRDefault="000D1107" w:rsidP="00F70454">
            <w:pPr>
              <w:rPr>
                <w:strike/>
                <w:highlight w:val="yellow"/>
              </w:rPr>
            </w:pPr>
            <w:r w:rsidRPr="000D1107">
              <w:rPr>
                <w:strike/>
                <w:color w:val="000000"/>
                <w:highlight w:val="yellow"/>
              </w:rPr>
              <w:t>Clarification of Approval of an Alternative to Method 18 for 40 CFR Part 60, Subpart JJJJ</w:t>
            </w:r>
          </w:p>
        </w:tc>
      </w:tr>
    </w:tbl>
    <w:p w:rsidR="000D1107" w:rsidRPr="000D1107" w:rsidRDefault="000D1107" w:rsidP="000D1107">
      <w:pPr>
        <w:spacing w:before="120" w:after="120"/>
        <w:ind w:left="360"/>
        <w:rPr>
          <w:strike/>
          <w:sz w:val="22"/>
          <w:szCs w:val="22"/>
          <w:highlight w:val="yellow"/>
        </w:rPr>
      </w:pPr>
      <w:r w:rsidRPr="000D1107">
        <w:rPr>
          <w:strike/>
          <w:sz w:val="22"/>
          <w:szCs w:val="22"/>
          <w:highlight w:val="yellow"/>
        </w:rPr>
        <w:t xml:space="preserve">The above methods are described in Appendix </w:t>
      </w:r>
      <w:proofErr w:type="gramStart"/>
      <w:r w:rsidRPr="000D1107">
        <w:rPr>
          <w:strike/>
          <w:sz w:val="22"/>
          <w:szCs w:val="22"/>
          <w:highlight w:val="yellow"/>
        </w:rPr>
        <w:t>A</w:t>
      </w:r>
      <w:proofErr w:type="gramEnd"/>
      <w:r w:rsidRPr="000D1107">
        <w:rPr>
          <w:strike/>
          <w:sz w:val="22"/>
          <w:szCs w:val="22"/>
          <w:highlight w:val="yellow"/>
        </w:rPr>
        <w:t xml:space="preserve"> of 40 CFR 60 and are adopted by reference in Rule 62-204.800, F.A.C.  No other methods may be used unless prior written approval is received from the Department.  ALT-078 method is included in the Appendices.  [Rules 62-204.800, </w:t>
      </w:r>
      <w:r w:rsidRPr="000D1107">
        <w:rPr>
          <w:strike/>
          <w:sz w:val="22"/>
          <w:highlight w:val="yellow"/>
        </w:rPr>
        <w:t>62-212.400(BACT)</w:t>
      </w:r>
      <w:r w:rsidRPr="000D1107">
        <w:rPr>
          <w:strike/>
          <w:sz w:val="22"/>
          <w:szCs w:val="22"/>
          <w:highlight w:val="yellow"/>
        </w:rPr>
        <w:t xml:space="preserve"> and Appendix A of 40 CFR 60]</w:t>
      </w:r>
    </w:p>
    <w:p w:rsidR="000D1107" w:rsidRPr="000D1107" w:rsidRDefault="000D1107" w:rsidP="000D1107">
      <w:pPr>
        <w:numPr>
          <w:ilvl w:val="0"/>
          <w:numId w:val="38"/>
        </w:numPr>
        <w:spacing w:after="120"/>
        <w:rPr>
          <w:strike/>
          <w:szCs w:val="22"/>
          <w:highlight w:val="yellow"/>
        </w:rPr>
      </w:pPr>
      <w:r w:rsidRPr="000D1107">
        <w:rPr>
          <w:strike/>
          <w:sz w:val="22"/>
          <w:highlight w:val="yellow"/>
          <w:u w:val="single"/>
        </w:rPr>
        <w:t>LFG Composition Analysis</w:t>
      </w:r>
      <w:r w:rsidRPr="000D1107">
        <w:rPr>
          <w:strike/>
          <w:sz w:val="22"/>
          <w:highlight w:val="yellow"/>
        </w:rPr>
        <w:t>:  The following methods shall be used to satisfy the sampling/analysis of LFG:</w:t>
      </w:r>
      <w:r w:rsidRPr="000D1107">
        <w:rPr>
          <w:strike/>
          <w:szCs w:val="22"/>
          <w:highlight w:val="yellow"/>
        </w:rPr>
        <w:t xml:space="preserve"> </w:t>
      </w:r>
    </w:p>
    <w:p w:rsidR="000D1107" w:rsidRPr="000D1107" w:rsidRDefault="000D1107" w:rsidP="000D1107">
      <w:pPr>
        <w:numPr>
          <w:ilvl w:val="0"/>
          <w:numId w:val="43"/>
        </w:numPr>
        <w:spacing w:after="120"/>
        <w:rPr>
          <w:strike/>
          <w:sz w:val="22"/>
          <w:highlight w:val="yellow"/>
        </w:rPr>
      </w:pPr>
      <w:r w:rsidRPr="000D1107">
        <w:rPr>
          <w:strike/>
          <w:sz w:val="22"/>
          <w:highlight w:val="yellow"/>
        </w:rPr>
        <w:t>Sulfur Content:  ASTM Method D5504-01 or equivalent.</w:t>
      </w:r>
    </w:p>
    <w:p w:rsidR="000D1107" w:rsidRPr="000D1107" w:rsidRDefault="000D1107" w:rsidP="000D1107">
      <w:pPr>
        <w:numPr>
          <w:ilvl w:val="0"/>
          <w:numId w:val="43"/>
        </w:numPr>
        <w:spacing w:after="120"/>
        <w:rPr>
          <w:strike/>
          <w:sz w:val="22"/>
          <w:highlight w:val="yellow"/>
        </w:rPr>
      </w:pPr>
      <w:r w:rsidRPr="000D1107">
        <w:rPr>
          <w:strike/>
          <w:sz w:val="22"/>
          <w:highlight w:val="yellow"/>
        </w:rPr>
        <w:t>Chlorine Content:  Modified EPA Method TO-15 or equivalent.</w:t>
      </w:r>
    </w:p>
    <w:p w:rsidR="000D1107" w:rsidRPr="000D1107" w:rsidRDefault="000D1107" w:rsidP="000D1107">
      <w:pPr>
        <w:numPr>
          <w:ilvl w:val="0"/>
          <w:numId w:val="43"/>
        </w:numPr>
        <w:spacing w:after="120"/>
        <w:rPr>
          <w:strike/>
          <w:sz w:val="22"/>
          <w:highlight w:val="yellow"/>
        </w:rPr>
      </w:pPr>
      <w:r w:rsidRPr="000D1107">
        <w:rPr>
          <w:strike/>
          <w:sz w:val="22"/>
          <w:highlight w:val="yellow"/>
        </w:rPr>
        <w:t>The LFG shall be collected and transported in an appropriate canister (e.g. SUMMA®, Bottle-</w:t>
      </w:r>
      <w:proofErr w:type="spellStart"/>
      <w:r w:rsidRPr="000D1107">
        <w:rPr>
          <w:strike/>
          <w:sz w:val="22"/>
          <w:highlight w:val="yellow"/>
        </w:rPr>
        <w:t>Vac</w:t>
      </w:r>
      <w:proofErr w:type="spellEnd"/>
      <w:r w:rsidRPr="000D1107">
        <w:rPr>
          <w:strike/>
          <w:sz w:val="22"/>
          <w:highlight w:val="yellow"/>
        </w:rPr>
        <w:t xml:space="preserve"> Sampler or equivalent).</w:t>
      </w:r>
    </w:p>
    <w:p w:rsidR="000D1107" w:rsidRPr="000D1107" w:rsidRDefault="000D1107" w:rsidP="000D1107">
      <w:pPr>
        <w:spacing w:after="120"/>
        <w:ind w:left="360"/>
        <w:rPr>
          <w:strike/>
          <w:sz w:val="22"/>
          <w:highlight w:val="yellow"/>
        </w:rPr>
      </w:pPr>
      <w:r w:rsidRPr="000D1107">
        <w:rPr>
          <w:strike/>
          <w:sz w:val="22"/>
          <w:highlight w:val="yellow"/>
        </w:rPr>
        <w:t>[Rule 62-4.070(3), F.A.C.]</w:t>
      </w:r>
    </w:p>
    <w:p w:rsidR="000D1107" w:rsidRPr="000D1107" w:rsidRDefault="000D1107" w:rsidP="000D1107">
      <w:pPr>
        <w:spacing w:before="120" w:after="120"/>
        <w:rPr>
          <w:b/>
          <w:bCs/>
          <w:caps/>
          <w:strike/>
          <w:sz w:val="22"/>
          <w:szCs w:val="22"/>
          <w:highlight w:val="yellow"/>
        </w:rPr>
      </w:pPr>
      <w:r w:rsidRPr="000D1107">
        <w:rPr>
          <w:b/>
          <w:bCs/>
          <w:caps/>
          <w:strike/>
          <w:sz w:val="22"/>
          <w:szCs w:val="22"/>
          <w:highlight w:val="yellow"/>
        </w:rPr>
        <w:lastRenderedPageBreak/>
        <w:t>Monitoring Requirements</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Landfill Gas Sampling/Analysis</w:t>
      </w:r>
      <w:r w:rsidRPr="000D1107">
        <w:rPr>
          <w:strike/>
          <w:sz w:val="22"/>
          <w:szCs w:val="22"/>
          <w:highlight w:val="yellow"/>
        </w:rPr>
        <w:t>:  At least semiannually, the permittee shall obtain the following representative samples of landfill gas:  a sample taken during each required compliance stack test; and a sample taken during the next semiannual period.  A representative sample shall be taken in each calendar semiannual period (January – June and July – December) approximately six months apart.  Each gas sample shall be collected under normal operating conditions (i.e., with valves open for all operating cells)</w:t>
      </w:r>
      <w:r w:rsidRPr="000D1107">
        <w:rPr>
          <w:strike/>
          <w:sz w:val="22"/>
          <w:highlight w:val="yellow"/>
        </w:rPr>
        <w:t xml:space="preserve"> by appropriate canister (e.g. SUMMA®, Bottle-</w:t>
      </w:r>
      <w:proofErr w:type="spellStart"/>
      <w:r w:rsidRPr="000D1107">
        <w:rPr>
          <w:strike/>
          <w:sz w:val="22"/>
          <w:highlight w:val="yellow"/>
        </w:rPr>
        <w:t>Vac</w:t>
      </w:r>
      <w:proofErr w:type="spellEnd"/>
      <w:r w:rsidRPr="000D1107">
        <w:rPr>
          <w:strike/>
          <w:sz w:val="22"/>
          <w:highlight w:val="yellow"/>
        </w:rPr>
        <w:t xml:space="preserve"> Sampler or equivalent)</w:t>
      </w:r>
      <w:r w:rsidRPr="000D1107">
        <w:rPr>
          <w:strike/>
          <w:sz w:val="22"/>
          <w:szCs w:val="22"/>
          <w:highlight w:val="yellow"/>
        </w:rPr>
        <w:t>.  Each sample shall have an ultimate analysis conducted for at least sulfur and chlorine.  Results shall also be reported as SO</w:t>
      </w:r>
      <w:r w:rsidRPr="000D1107">
        <w:rPr>
          <w:strike/>
          <w:sz w:val="22"/>
          <w:szCs w:val="22"/>
          <w:highlight w:val="yellow"/>
          <w:vertAlign w:val="subscript"/>
        </w:rPr>
        <w:t>2</w:t>
      </w:r>
      <w:r w:rsidRPr="000D1107">
        <w:rPr>
          <w:strike/>
          <w:sz w:val="22"/>
          <w:szCs w:val="22"/>
          <w:highlight w:val="yellow"/>
        </w:rPr>
        <w:t xml:space="preserve"> and HCl emission factors in terms of lb/million standard cubic feet (lb/</w:t>
      </w:r>
      <w:proofErr w:type="spellStart"/>
      <w:r w:rsidRPr="000D1107">
        <w:rPr>
          <w:strike/>
          <w:sz w:val="22"/>
          <w:szCs w:val="22"/>
          <w:highlight w:val="yellow"/>
        </w:rPr>
        <w:t>MMscf</w:t>
      </w:r>
      <w:proofErr w:type="spellEnd"/>
      <w:r w:rsidRPr="000D1107">
        <w:rPr>
          <w:strike/>
          <w:sz w:val="22"/>
          <w:szCs w:val="22"/>
          <w:highlight w:val="yellow"/>
        </w:rPr>
        <w:t>) of landfill gas.  Based on the sampling results and Rule 62-297.310(7</w:t>
      </w:r>
      <w:proofErr w:type="gramStart"/>
      <w:r w:rsidRPr="000D1107">
        <w:rPr>
          <w:strike/>
          <w:sz w:val="22"/>
          <w:szCs w:val="22"/>
          <w:highlight w:val="yellow"/>
        </w:rPr>
        <w:t>)(</w:t>
      </w:r>
      <w:proofErr w:type="gramEnd"/>
      <w:r w:rsidRPr="000D1107">
        <w:rPr>
          <w:strike/>
          <w:sz w:val="22"/>
          <w:szCs w:val="22"/>
          <w:highlight w:val="yellow"/>
        </w:rPr>
        <w:t>b)(Special Compliance Tests), F.A.C., the Compliance Authority may request additional gas sampling and analyses.  [Rules 62-210.200 and 62-212.400, F.A.C.]</w:t>
      </w:r>
    </w:p>
    <w:p w:rsidR="000D1107" w:rsidRPr="000D1107" w:rsidRDefault="000D1107" w:rsidP="000D1107">
      <w:pPr>
        <w:numPr>
          <w:ilvl w:val="0"/>
          <w:numId w:val="38"/>
        </w:numPr>
        <w:spacing w:after="120"/>
        <w:rPr>
          <w:bCs/>
          <w:strike/>
          <w:sz w:val="22"/>
          <w:szCs w:val="22"/>
          <w:highlight w:val="yellow"/>
        </w:rPr>
      </w:pPr>
      <w:r w:rsidRPr="000D1107">
        <w:rPr>
          <w:strike/>
          <w:sz w:val="22"/>
          <w:szCs w:val="22"/>
          <w:highlight w:val="yellow"/>
          <w:u w:val="single"/>
        </w:rPr>
        <w:t>Monthly Records</w:t>
      </w:r>
      <w:r w:rsidRPr="000D1107">
        <w:rPr>
          <w:strike/>
          <w:sz w:val="22"/>
          <w:szCs w:val="22"/>
          <w:highlight w:val="yellow"/>
        </w:rPr>
        <w:t>:  Within ten calendar days following each month, the permittee shall observe and record the following information in a written log:  number of hours of operation of each engine; total monthly landfill gas flow rate to all engines combined; and HCl and SO</w:t>
      </w:r>
      <w:r w:rsidRPr="000D1107">
        <w:rPr>
          <w:strike/>
          <w:sz w:val="22"/>
          <w:szCs w:val="22"/>
          <w:highlight w:val="yellow"/>
          <w:vertAlign w:val="subscript"/>
        </w:rPr>
        <w:t>2</w:t>
      </w:r>
      <w:r w:rsidRPr="000D1107">
        <w:rPr>
          <w:strike/>
          <w:sz w:val="22"/>
          <w:szCs w:val="22"/>
          <w:highlight w:val="yellow"/>
        </w:rPr>
        <w:t xml:space="preserve"> emissions for the month and previous 12 months, rolling total.  Emissions of HCl and SO</w:t>
      </w:r>
      <w:r w:rsidRPr="000D1107">
        <w:rPr>
          <w:strike/>
          <w:sz w:val="22"/>
          <w:szCs w:val="22"/>
          <w:highlight w:val="yellow"/>
          <w:vertAlign w:val="subscript"/>
        </w:rPr>
        <w:t>2</w:t>
      </w:r>
      <w:r w:rsidRPr="000D1107">
        <w:rPr>
          <w:strike/>
          <w:sz w:val="22"/>
          <w:szCs w:val="22"/>
          <w:highlight w:val="yellow"/>
        </w:rPr>
        <w:t xml:space="preserve"> shall be calculated from the monthly fuel consumption as well as the analytical results for the chlorine and sulfur contents of the landfill gas representative of the given month of operation based on the semiannual sampling for that period.  [Rule 62-210.200 (232), F.A.C.]</w:t>
      </w:r>
    </w:p>
    <w:p w:rsidR="000D1107" w:rsidRPr="000D1107" w:rsidRDefault="000D1107" w:rsidP="000D1107">
      <w:pPr>
        <w:spacing w:before="120" w:after="120"/>
        <w:rPr>
          <w:b/>
          <w:bCs/>
          <w:caps/>
          <w:strike/>
          <w:sz w:val="22"/>
          <w:szCs w:val="22"/>
          <w:highlight w:val="yellow"/>
        </w:rPr>
      </w:pPr>
      <w:r w:rsidRPr="000D1107">
        <w:rPr>
          <w:b/>
          <w:bCs/>
          <w:caps/>
          <w:strike/>
          <w:sz w:val="22"/>
          <w:szCs w:val="22"/>
          <w:highlight w:val="yellow"/>
        </w:rPr>
        <w:t>Records and Reports</w:t>
      </w:r>
    </w:p>
    <w:p w:rsidR="000D1107" w:rsidRPr="000D1107" w:rsidRDefault="000D1107" w:rsidP="000D1107">
      <w:pPr>
        <w:numPr>
          <w:ilvl w:val="0"/>
          <w:numId w:val="38"/>
        </w:numPr>
        <w:spacing w:after="120"/>
        <w:rPr>
          <w:strike/>
          <w:sz w:val="22"/>
          <w:szCs w:val="22"/>
          <w:highlight w:val="yellow"/>
        </w:rPr>
      </w:pPr>
      <w:r w:rsidRPr="000D1107">
        <w:rPr>
          <w:strike/>
          <w:sz w:val="22"/>
          <w:szCs w:val="22"/>
          <w:highlight w:val="yellow"/>
          <w:u w:val="single"/>
        </w:rPr>
        <w:t>Test Reports</w:t>
      </w:r>
      <w:r w:rsidRPr="000D1107">
        <w:rPr>
          <w:strike/>
          <w:sz w:val="22"/>
          <w:szCs w:val="22"/>
          <w:highlight w:val="yellow"/>
        </w:rPr>
        <w: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other than for an EPA test, shall provide the applicable information identified in Rule 62-297.310(8</w:t>
      </w:r>
      <w:proofErr w:type="gramStart"/>
      <w:r w:rsidRPr="000D1107">
        <w:rPr>
          <w:strike/>
          <w:sz w:val="22"/>
          <w:szCs w:val="22"/>
          <w:highlight w:val="yellow"/>
        </w:rPr>
        <w:t>)(</w:t>
      </w:r>
      <w:proofErr w:type="gramEnd"/>
      <w:r w:rsidRPr="000D1107">
        <w:rPr>
          <w:strike/>
          <w:sz w:val="22"/>
          <w:szCs w:val="22"/>
          <w:highlight w:val="yellow"/>
        </w:rPr>
        <w:t>c).  [Rule 62-297.310(8), F.A.C.]</w:t>
      </w:r>
    </w:p>
    <w:p w:rsidR="001D57D1" w:rsidRDefault="001D57D1" w:rsidP="000D1107">
      <w:pPr>
        <w:pStyle w:val="BodyText3"/>
        <w:numPr>
          <w:ilvl w:val="12"/>
          <w:numId w:val="0"/>
        </w:numPr>
        <w:jc w:val="left"/>
        <w:rPr>
          <w:szCs w:val="22"/>
        </w:rPr>
      </w:pPr>
    </w:p>
    <w:sectPr w:rsidR="001D57D1" w:rsidSect="00D16E51">
      <w:headerReference w:type="even" r:id="rId24"/>
      <w:headerReference w:type="default" r:id="rId25"/>
      <w:headerReference w:type="first" r:id="rId26"/>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FC6" w:rsidRDefault="00360FC6">
      <w:r>
        <w:separator/>
      </w:r>
    </w:p>
  </w:endnote>
  <w:endnote w:type="continuationSeparator" w:id="0">
    <w:p w:rsidR="00360FC6" w:rsidRDefault="0036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25D" w:rsidRPr="00B7427C" w:rsidRDefault="0085125D" w:rsidP="00854EC7">
    <w:pPr>
      <w:pBdr>
        <w:top w:val="single" w:sz="6" w:space="1" w:color="auto"/>
      </w:pBdr>
      <w:tabs>
        <w:tab w:val="right" w:pos="10080"/>
      </w:tabs>
      <w:spacing w:before="240"/>
      <w:rPr>
        <w:rStyle w:val="PageNumber"/>
      </w:rPr>
    </w:pPr>
    <w:r w:rsidRPr="00B7427C">
      <w:t>Trail Ridge Landfill</w:t>
    </w:r>
    <w:r w:rsidRPr="00B7427C">
      <w:rPr>
        <w:rStyle w:val="PageNumber"/>
      </w:rPr>
      <w:tab/>
      <w:t xml:space="preserve">Project No. </w:t>
    </w:r>
    <w:r w:rsidRPr="00B7427C">
      <w:t>0310358-014-AC</w:t>
    </w:r>
    <w:r w:rsidR="000D1107">
      <w:t>/PSD-FL-374D</w:t>
    </w:r>
  </w:p>
  <w:p w:rsidR="0085125D" w:rsidRPr="00B7427C" w:rsidRDefault="0085125D" w:rsidP="00854EC7">
    <w:pPr>
      <w:pBdr>
        <w:top w:val="single" w:sz="6" w:space="1" w:color="auto"/>
      </w:pBdr>
      <w:tabs>
        <w:tab w:val="right" w:pos="10080"/>
      </w:tabs>
      <w:rPr>
        <w:rStyle w:val="PageNumber"/>
      </w:rPr>
    </w:pPr>
    <w:r w:rsidRPr="00B7427C">
      <w:rPr>
        <w:rStyle w:val="PageNumber"/>
      </w:rPr>
      <w:t>Miscellaneous Revisions</w:t>
    </w:r>
    <w:r w:rsidRPr="00B7427C">
      <w:rPr>
        <w:rStyle w:val="PageNumber"/>
      </w:rPr>
      <w:tab/>
      <w:t>Minor Air Construction Permit</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587FC8">
      <w:rPr>
        <w:rStyle w:val="PageNumber"/>
        <w:noProof/>
      </w:rPr>
      <w:t>8</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587FC8">
      <w:rPr>
        <w:rStyle w:val="PageNumber"/>
        <w:noProof/>
      </w:rPr>
      <w:t>8</w:t>
    </w:r>
    <w:r w:rsidR="00BB0844">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FC6" w:rsidRDefault="00360FC6">
      <w:r>
        <w:separator/>
      </w:r>
    </w:p>
  </w:footnote>
  <w:footnote w:type="continuationSeparator" w:id="0">
    <w:p w:rsidR="00360FC6" w:rsidRDefault="00360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51" w:rsidRDefault="00D16E51" w:rsidP="00D16E51">
    <w:pPr>
      <w:pStyle w:val="Header"/>
      <w:pBdr>
        <w:between w:val="single" w:sz="8" w:space="1" w:color="auto"/>
      </w:pBdr>
      <w:tabs>
        <w:tab w:val="clear" w:pos="4320"/>
        <w:tab w:val="clear" w:pos="8640"/>
      </w:tabs>
      <w:jc w:val="center"/>
      <w:rPr>
        <w:rStyle w:val="PageNumber"/>
      </w:rPr>
    </w:pPr>
    <w:r>
      <w:rPr>
        <w:b/>
        <w:sz w:val="22"/>
      </w:rPr>
      <w:t>SECTION 2.  PERMIT REVISIONS</w:t>
    </w:r>
  </w:p>
  <w:p w:rsidR="00D16E51" w:rsidRDefault="00D16E51" w:rsidP="00D16E51">
    <w:pPr>
      <w:pStyle w:val="Header"/>
      <w:pBdr>
        <w:between w:val="single" w:sz="8" w:space="1" w:color="auto"/>
      </w:pBdr>
      <w:tabs>
        <w:tab w:val="clear" w:pos="4320"/>
        <w:tab w:val="clear" w:pos="8640"/>
      </w:tabs>
      <w:spacing w:after="240"/>
      <w:jc w:val="center"/>
      <w:rPr>
        <w:b/>
        <w:sz w:val="22"/>
      </w:rPr>
    </w:pPr>
  </w:p>
  <w:p w:rsidR="00CE6970" w:rsidRPr="00D16E51" w:rsidRDefault="00587FC8" w:rsidP="00D16E5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970" w:rsidRDefault="00587FC8" w:rsidP="000D1107">
    <w:pPr>
      <w:pStyle w:val="Header"/>
      <w:numPr>
        <w:ilvl w:val="0"/>
        <w:numId w:val="18"/>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54EC7" w:rsidTr="00C75B25">
      <w:tc>
        <w:tcPr>
          <w:tcW w:w="2448" w:type="dxa"/>
        </w:tcPr>
        <w:p w:rsidR="00854EC7" w:rsidRDefault="00854EC7" w:rsidP="00854EC7">
          <w:r>
            <w:rPr>
              <w:noProof/>
            </w:rPr>
            <w:drawing>
              <wp:inline distT="0" distB="0" distL="0" distR="0" wp14:anchorId="5846D502" wp14:editId="306690C8">
                <wp:extent cx="1504950" cy="981075"/>
                <wp:effectExtent l="0" t="0" r="0" b="9525"/>
                <wp:docPr id="8" name="Picture 8"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854EC7" w:rsidRPr="00CC55AF" w:rsidRDefault="00854EC7" w:rsidP="00854EC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54EC7" w:rsidRPr="00CC55AF" w:rsidRDefault="00854EC7" w:rsidP="00854EC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54EC7" w:rsidRPr="000A2ACE" w:rsidRDefault="00854EC7" w:rsidP="00854EC7">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854EC7" w:rsidRPr="00327FD5" w:rsidRDefault="00854EC7" w:rsidP="00854EC7">
          <w:pPr>
            <w:jc w:val="center"/>
            <w:rPr>
              <w:rFonts w:ascii="Arial" w:hAnsi="Arial" w:cs="Arial"/>
            </w:rPr>
          </w:pPr>
          <w:r w:rsidRPr="000A2ACE">
            <w:rPr>
              <w:sz w:val="18"/>
              <w:szCs w:val="18"/>
            </w:rPr>
            <w:t>2600 BLAIR</w:t>
          </w:r>
          <w:r>
            <w:rPr>
              <w:sz w:val="18"/>
              <w:szCs w:val="18"/>
            </w:rPr>
            <w:t xml:space="preserve"> </w:t>
          </w:r>
          <w:r w:rsidRPr="000A2ACE">
            <w:rPr>
              <w:sz w:val="18"/>
              <w:szCs w:val="18"/>
            </w:rPr>
            <w:t>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20" w:type="dxa"/>
        </w:tcPr>
        <w:p w:rsidR="00854EC7" w:rsidRPr="00B17F49" w:rsidRDefault="00854EC7" w:rsidP="00854EC7">
          <w:pPr>
            <w:jc w:val="right"/>
            <w:rPr>
              <w:color w:val="31849B"/>
              <w:sz w:val="18"/>
              <w:szCs w:val="18"/>
            </w:rPr>
          </w:pPr>
          <w:r w:rsidRPr="00B17F49">
            <w:rPr>
              <w:color w:val="31849B"/>
              <w:sz w:val="18"/>
              <w:szCs w:val="18"/>
            </w:rPr>
            <w:t>RICK SCOTT</w:t>
          </w:r>
        </w:p>
        <w:p w:rsidR="00854EC7" w:rsidRPr="00B17F49" w:rsidRDefault="00854EC7" w:rsidP="00854EC7">
          <w:pPr>
            <w:jc w:val="right"/>
            <w:rPr>
              <w:color w:val="31849B"/>
              <w:sz w:val="18"/>
              <w:szCs w:val="18"/>
            </w:rPr>
          </w:pPr>
          <w:r w:rsidRPr="00B17F49">
            <w:rPr>
              <w:color w:val="31849B"/>
              <w:sz w:val="18"/>
              <w:szCs w:val="18"/>
            </w:rPr>
            <w:t>GOVERNOR</w:t>
          </w:r>
        </w:p>
        <w:p w:rsidR="00854EC7" w:rsidRPr="00B17F49" w:rsidRDefault="00854EC7" w:rsidP="00854EC7">
          <w:pPr>
            <w:jc w:val="right"/>
            <w:rPr>
              <w:color w:val="31849B"/>
              <w:sz w:val="18"/>
              <w:szCs w:val="18"/>
            </w:rPr>
          </w:pPr>
        </w:p>
        <w:p w:rsidR="00854EC7" w:rsidRPr="00B17F49" w:rsidRDefault="00854EC7" w:rsidP="00854EC7">
          <w:pPr>
            <w:jc w:val="right"/>
            <w:rPr>
              <w:color w:val="31849B"/>
              <w:sz w:val="18"/>
              <w:szCs w:val="18"/>
            </w:rPr>
          </w:pPr>
          <w:r>
            <w:rPr>
              <w:color w:val="31849B"/>
              <w:sz w:val="18"/>
              <w:szCs w:val="18"/>
            </w:rPr>
            <w:t>CARLOS LOPEZ-CANTERA</w:t>
          </w:r>
          <w:r w:rsidRPr="00B17F49">
            <w:rPr>
              <w:color w:val="31849B"/>
              <w:sz w:val="18"/>
              <w:szCs w:val="18"/>
            </w:rPr>
            <w:br/>
            <w:t>LT. GOVERNOR</w:t>
          </w:r>
        </w:p>
        <w:p w:rsidR="00854EC7" w:rsidRDefault="00854EC7" w:rsidP="00854EC7">
          <w:pPr>
            <w:jc w:val="right"/>
            <w:rPr>
              <w:color w:val="31849B"/>
              <w:sz w:val="18"/>
              <w:szCs w:val="18"/>
            </w:rPr>
          </w:pPr>
        </w:p>
        <w:p w:rsidR="00854EC7" w:rsidRPr="00B17F49" w:rsidRDefault="00854EC7" w:rsidP="00854EC7">
          <w:pPr>
            <w:jc w:val="right"/>
            <w:rPr>
              <w:color w:val="31849B"/>
              <w:sz w:val="18"/>
              <w:szCs w:val="18"/>
            </w:rPr>
          </w:pPr>
          <w:r>
            <w:rPr>
              <w:color w:val="31849B"/>
              <w:sz w:val="18"/>
              <w:szCs w:val="18"/>
            </w:rPr>
            <w:t>JONATHAN P. STEVERSON</w:t>
          </w:r>
        </w:p>
        <w:p w:rsidR="00854EC7" w:rsidRPr="004D0732" w:rsidRDefault="00854EC7" w:rsidP="00854EC7">
          <w:pPr>
            <w:jc w:val="right"/>
            <w:rPr>
              <w:rFonts w:ascii="BakerSignet" w:hAnsi="BakerSignet"/>
              <w:color w:val="006666"/>
            </w:rPr>
          </w:pPr>
          <w:r>
            <w:rPr>
              <w:color w:val="31849B"/>
              <w:sz w:val="18"/>
              <w:szCs w:val="18"/>
            </w:rPr>
            <w:t xml:space="preserve"> </w:t>
          </w:r>
          <w:r w:rsidRPr="00B17F49">
            <w:rPr>
              <w:color w:val="31849B"/>
              <w:sz w:val="18"/>
              <w:szCs w:val="18"/>
            </w:rPr>
            <w:t>SECRETARY</w:t>
          </w:r>
        </w:p>
      </w:tc>
    </w:tr>
  </w:tbl>
  <w:p w:rsidR="00097A5C" w:rsidRPr="00854EC7" w:rsidRDefault="00097A5C" w:rsidP="00854E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5E5215">
    <w:pPr>
      <w:pStyle w:val="Header"/>
      <w:numPr>
        <w:ilvl w:val="0"/>
        <w:numId w:val="9"/>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Pr="001023C1" w:rsidRDefault="00097A5C" w:rsidP="001023C1">
    <w:pPr>
      <w:pStyle w:val="Header"/>
      <w:pBdr>
        <w:bottom w:val="single" w:sz="8" w:space="1" w:color="auto"/>
      </w:pBdr>
      <w:spacing w:after="240"/>
      <w:jc w:val="center"/>
      <w:rPr>
        <w:b/>
        <w:sz w:val="22"/>
        <w:szCs w:val="22"/>
      </w:rPr>
    </w:pPr>
    <w:r w:rsidRPr="001023C1">
      <w:rPr>
        <w:b/>
        <w:sz w:val="22"/>
        <w:szCs w:val="22"/>
      </w:rPr>
      <w:t>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5E5215">
    <w:pPr>
      <w:pStyle w:val="Header"/>
      <w:numPr>
        <w:ilvl w:val="0"/>
        <w:numId w:val="10"/>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970" w:rsidRDefault="00587FC8" w:rsidP="000D1107">
    <w:pPr>
      <w:pStyle w:val="Header"/>
      <w:numPr>
        <w:ilvl w:val="0"/>
        <w:numId w:val="17"/>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D25080"/>
    <w:multiLevelType w:val="hybridMultilevel"/>
    <w:tmpl w:val="09AEB7C2"/>
    <w:lvl w:ilvl="0" w:tplc="F3049C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8129F1"/>
    <w:multiLevelType w:val="hybridMultilevel"/>
    <w:tmpl w:val="55262E90"/>
    <w:lvl w:ilvl="0" w:tplc="F3049C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C71697F"/>
    <w:multiLevelType w:val="hybridMultilevel"/>
    <w:tmpl w:val="0B12F6A2"/>
    <w:lvl w:ilvl="0" w:tplc="57FA93E4">
      <w:start w:val="1"/>
      <w:numFmt w:val="decimal"/>
      <w:lvlText w:val="%1."/>
      <w:lvlJc w:val="left"/>
      <w:pPr>
        <w:tabs>
          <w:tab w:val="num" w:pos="360"/>
        </w:tabs>
        <w:ind w:left="360" w:hanging="360"/>
      </w:pPr>
      <w:rPr>
        <w:rFonts w:hint="default"/>
        <w:b w:val="0"/>
        <w:sz w:val="22"/>
        <w:szCs w:val="22"/>
      </w:rPr>
    </w:lvl>
    <w:lvl w:ilvl="1" w:tplc="DDB2B260">
      <w:start w:val="1"/>
      <w:numFmt w:val="lowerLetter"/>
      <w:lvlText w:val="(%2)"/>
      <w:lvlJc w:val="left"/>
      <w:pPr>
        <w:tabs>
          <w:tab w:val="num" w:pos="1440"/>
        </w:tabs>
        <w:ind w:left="1440" w:hanging="360"/>
      </w:pPr>
      <w:rPr>
        <w:rFonts w:hint="default"/>
      </w:rPr>
    </w:lvl>
    <w:lvl w:ilvl="2" w:tplc="F3049CEC">
      <w:start w:val="1"/>
      <w:numFmt w:val="lowerLetter"/>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74547F6"/>
    <w:multiLevelType w:val="hybridMultilevel"/>
    <w:tmpl w:val="B6BA9E76"/>
    <w:lvl w:ilvl="0" w:tplc="04090019">
      <w:start w:val="1"/>
      <w:numFmt w:val="lowerLetter"/>
      <w:lvlText w:val="%1."/>
      <w:lvlJc w:val="left"/>
      <w:pPr>
        <w:tabs>
          <w:tab w:val="num" w:pos="720"/>
        </w:tabs>
        <w:ind w:left="720" w:hanging="360"/>
      </w:pPr>
      <w:rPr>
        <w:rFonts w:hint="default"/>
        <w:b w:val="0"/>
      </w:rPr>
    </w:lvl>
    <w:lvl w:ilvl="1" w:tplc="B158F0D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9B300BD"/>
    <w:multiLevelType w:val="hybridMultilevel"/>
    <w:tmpl w:val="F90A76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06354A"/>
    <w:multiLevelType w:val="singleLevel"/>
    <w:tmpl w:val="F1A85D9A"/>
    <w:lvl w:ilvl="0">
      <w:start w:val="1"/>
      <w:numFmt w:val="decimal"/>
      <w:lvlText w:val="(%1)"/>
      <w:legacy w:legacy="1" w:legacySpace="0" w:legacyIndent="720"/>
      <w:lvlJc w:val="left"/>
      <w:pPr>
        <w:ind w:left="720" w:hanging="720"/>
      </w:pPr>
    </w:lvl>
  </w:abstractNum>
  <w:abstractNum w:abstractNumId="29">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7D56C54"/>
    <w:multiLevelType w:val="singleLevel"/>
    <w:tmpl w:val="F1A85D9A"/>
    <w:lvl w:ilvl="0">
      <w:start w:val="1"/>
      <w:numFmt w:val="decimal"/>
      <w:lvlText w:val="(%1)"/>
      <w:legacy w:legacy="1" w:legacySpace="0" w:legacyIndent="720"/>
      <w:lvlJc w:val="left"/>
      <w:pPr>
        <w:ind w:left="720" w:hanging="72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8633BCA"/>
    <w:multiLevelType w:val="singleLevel"/>
    <w:tmpl w:val="F1A85D9A"/>
    <w:lvl w:ilvl="0">
      <w:start w:val="1"/>
      <w:numFmt w:val="decimal"/>
      <w:lvlText w:val="(%1)"/>
      <w:legacy w:legacy="1" w:legacySpace="0" w:legacyIndent="720"/>
      <w:lvlJc w:val="left"/>
      <w:pPr>
        <w:ind w:left="720" w:hanging="720"/>
      </w:pPr>
    </w:lvl>
  </w:abstractNum>
  <w:abstractNum w:abstractNumId="40">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B82042A"/>
    <w:multiLevelType w:val="singleLevel"/>
    <w:tmpl w:val="F1A85D9A"/>
    <w:lvl w:ilvl="0">
      <w:start w:val="1"/>
      <w:numFmt w:val="decimal"/>
      <w:lvlText w:val="(%1)"/>
      <w:legacy w:legacy="1" w:legacySpace="0" w:legacyIndent="720"/>
      <w:lvlJc w:val="left"/>
      <w:pPr>
        <w:ind w:left="720" w:hanging="720"/>
      </w:pPr>
    </w:lvl>
  </w:abstractNum>
  <w:abstractNum w:abstractNumId="42">
    <w:nsid w:val="7DCC4CE5"/>
    <w:multiLevelType w:val="hybridMultilevel"/>
    <w:tmpl w:val="52B2E48E"/>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2"/>
  </w:num>
  <w:num w:numId="4">
    <w:abstractNumId w:val="2"/>
  </w:num>
  <w:num w:numId="5">
    <w:abstractNumId w:val="13"/>
  </w:num>
  <w:num w:numId="6">
    <w:abstractNumId w:val="33"/>
  </w:num>
  <w:num w:numId="7">
    <w:abstractNumId w:val="20"/>
  </w:num>
  <w:num w:numId="8">
    <w:abstractNumId w:val="32"/>
  </w:num>
  <w:num w:numId="9">
    <w:abstractNumId w:val="17"/>
  </w:num>
  <w:num w:numId="10">
    <w:abstractNumId w:val="38"/>
  </w:num>
  <w:num w:numId="11">
    <w:abstractNumId w:val="15"/>
  </w:num>
  <w:num w:numId="12">
    <w:abstractNumId w:val="23"/>
  </w:num>
  <w:num w:numId="13">
    <w:abstractNumId w:val="19"/>
  </w:num>
  <w:num w:numId="14">
    <w:abstractNumId w:val="31"/>
  </w:num>
  <w:num w:numId="15">
    <w:abstractNumId w:val="16"/>
  </w:num>
  <w:num w:numId="16">
    <w:abstractNumId w:val="37"/>
  </w:num>
  <w:num w:numId="17">
    <w:abstractNumId w:val="18"/>
  </w:num>
  <w:num w:numId="18">
    <w:abstractNumId w:val="28"/>
  </w:num>
  <w:num w:numId="19">
    <w:abstractNumId w:val="1"/>
  </w:num>
  <w:num w:numId="20">
    <w:abstractNumId w:val="7"/>
  </w:num>
  <w:num w:numId="21">
    <w:abstractNumId w:val="36"/>
  </w:num>
  <w:num w:numId="22">
    <w:abstractNumId w:val="26"/>
  </w:num>
  <w:num w:numId="23">
    <w:abstractNumId w:val="27"/>
  </w:num>
  <w:num w:numId="24">
    <w:abstractNumId w:val="40"/>
  </w:num>
  <w:num w:numId="25">
    <w:abstractNumId w:val="29"/>
  </w:num>
  <w:num w:numId="26">
    <w:abstractNumId w:val="3"/>
  </w:num>
  <w:num w:numId="27">
    <w:abstractNumId w:val="8"/>
  </w:num>
  <w:num w:numId="28">
    <w:abstractNumId w:val="5"/>
  </w:num>
  <w:num w:numId="29">
    <w:abstractNumId w:val="34"/>
  </w:num>
  <w:num w:numId="30">
    <w:abstractNumId w:val="35"/>
  </w:num>
  <w:num w:numId="31">
    <w:abstractNumId w:val="9"/>
  </w:num>
  <w:num w:numId="32">
    <w:abstractNumId w:val="21"/>
  </w:num>
  <w:num w:numId="33">
    <w:abstractNumId w:val="10"/>
  </w:num>
  <w:num w:numId="34">
    <w:abstractNumId w:val="30"/>
  </w:num>
  <w:num w:numId="35">
    <w:abstractNumId w:val="41"/>
  </w:num>
  <w:num w:numId="36">
    <w:abstractNumId w:val="11"/>
  </w:num>
  <w:num w:numId="37">
    <w:abstractNumId w:val="39"/>
  </w:num>
  <w:num w:numId="38">
    <w:abstractNumId w:val="14"/>
  </w:num>
  <w:num w:numId="39">
    <w:abstractNumId w:val="42"/>
  </w:num>
  <w:num w:numId="40">
    <w:abstractNumId w:val="24"/>
  </w:num>
  <w:num w:numId="41">
    <w:abstractNumId w:val="25"/>
  </w:num>
  <w:num w:numId="42">
    <w:abstractNumId w:val="6"/>
  </w:num>
  <w:num w:numId="4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05763"/>
    <w:rsid w:val="00020FDC"/>
    <w:rsid w:val="00037214"/>
    <w:rsid w:val="000472DA"/>
    <w:rsid w:val="00047F18"/>
    <w:rsid w:val="00063CC3"/>
    <w:rsid w:val="00077826"/>
    <w:rsid w:val="00095C1D"/>
    <w:rsid w:val="00097A5C"/>
    <w:rsid w:val="000A60F6"/>
    <w:rsid w:val="000C08BB"/>
    <w:rsid w:val="000C18E0"/>
    <w:rsid w:val="000C5035"/>
    <w:rsid w:val="000D049E"/>
    <w:rsid w:val="000D1107"/>
    <w:rsid w:val="001023C1"/>
    <w:rsid w:val="00111D4B"/>
    <w:rsid w:val="001132F2"/>
    <w:rsid w:val="001172BB"/>
    <w:rsid w:val="0012388F"/>
    <w:rsid w:val="00126FC2"/>
    <w:rsid w:val="00132B8F"/>
    <w:rsid w:val="00146356"/>
    <w:rsid w:val="0016219E"/>
    <w:rsid w:val="00165490"/>
    <w:rsid w:val="00177502"/>
    <w:rsid w:val="00193EC2"/>
    <w:rsid w:val="001D57D1"/>
    <w:rsid w:val="001E6B3A"/>
    <w:rsid w:val="001E7533"/>
    <w:rsid w:val="001F2FAB"/>
    <w:rsid w:val="002020BB"/>
    <w:rsid w:val="00220186"/>
    <w:rsid w:val="0022330B"/>
    <w:rsid w:val="00257AFE"/>
    <w:rsid w:val="002671D1"/>
    <w:rsid w:val="00271177"/>
    <w:rsid w:val="0028030C"/>
    <w:rsid w:val="00293B4B"/>
    <w:rsid w:val="00297CCE"/>
    <w:rsid w:val="002A1F91"/>
    <w:rsid w:val="002B4E5A"/>
    <w:rsid w:val="002C1D42"/>
    <w:rsid w:val="002D190E"/>
    <w:rsid w:val="002D61FF"/>
    <w:rsid w:val="003118A1"/>
    <w:rsid w:val="00317A43"/>
    <w:rsid w:val="003542D1"/>
    <w:rsid w:val="00360FC6"/>
    <w:rsid w:val="00361A0F"/>
    <w:rsid w:val="00361A96"/>
    <w:rsid w:val="00373029"/>
    <w:rsid w:val="00382AAB"/>
    <w:rsid w:val="003A04EE"/>
    <w:rsid w:val="003A5B11"/>
    <w:rsid w:val="003D11F0"/>
    <w:rsid w:val="003E05D9"/>
    <w:rsid w:val="003F3906"/>
    <w:rsid w:val="00414587"/>
    <w:rsid w:val="004341A2"/>
    <w:rsid w:val="00451E41"/>
    <w:rsid w:val="00474734"/>
    <w:rsid w:val="004B5FE3"/>
    <w:rsid w:val="004C73A6"/>
    <w:rsid w:val="004D0655"/>
    <w:rsid w:val="004D1D87"/>
    <w:rsid w:val="00513B90"/>
    <w:rsid w:val="00517142"/>
    <w:rsid w:val="00523113"/>
    <w:rsid w:val="00532038"/>
    <w:rsid w:val="0053752F"/>
    <w:rsid w:val="005426AC"/>
    <w:rsid w:val="0058495D"/>
    <w:rsid w:val="00587FC8"/>
    <w:rsid w:val="005C34DB"/>
    <w:rsid w:val="005C4B0B"/>
    <w:rsid w:val="005D64CF"/>
    <w:rsid w:val="005E5215"/>
    <w:rsid w:val="005F5435"/>
    <w:rsid w:val="00600FA1"/>
    <w:rsid w:val="00611875"/>
    <w:rsid w:val="00617435"/>
    <w:rsid w:val="0062158B"/>
    <w:rsid w:val="00627859"/>
    <w:rsid w:val="006307E9"/>
    <w:rsid w:val="00636130"/>
    <w:rsid w:val="00636146"/>
    <w:rsid w:val="00641EF9"/>
    <w:rsid w:val="00644BE1"/>
    <w:rsid w:val="00647705"/>
    <w:rsid w:val="006520BB"/>
    <w:rsid w:val="00652D24"/>
    <w:rsid w:val="00681E10"/>
    <w:rsid w:val="006B7B0E"/>
    <w:rsid w:val="006D2426"/>
    <w:rsid w:val="006D6C4B"/>
    <w:rsid w:val="006D7FD6"/>
    <w:rsid w:val="006E1647"/>
    <w:rsid w:val="006E2AEF"/>
    <w:rsid w:val="006E432F"/>
    <w:rsid w:val="00701347"/>
    <w:rsid w:val="0071064C"/>
    <w:rsid w:val="00713747"/>
    <w:rsid w:val="00725EF3"/>
    <w:rsid w:val="00744DD9"/>
    <w:rsid w:val="00747DBE"/>
    <w:rsid w:val="00756CE8"/>
    <w:rsid w:val="007578FD"/>
    <w:rsid w:val="007700A1"/>
    <w:rsid w:val="00780303"/>
    <w:rsid w:val="007A69FD"/>
    <w:rsid w:val="007B0689"/>
    <w:rsid w:val="007D0157"/>
    <w:rsid w:val="007D5FBD"/>
    <w:rsid w:val="007D6B57"/>
    <w:rsid w:val="007E02E2"/>
    <w:rsid w:val="008058D4"/>
    <w:rsid w:val="00837568"/>
    <w:rsid w:val="00845DA5"/>
    <w:rsid w:val="008461DC"/>
    <w:rsid w:val="008470DF"/>
    <w:rsid w:val="0085125D"/>
    <w:rsid w:val="00854EC7"/>
    <w:rsid w:val="00865E66"/>
    <w:rsid w:val="00877418"/>
    <w:rsid w:val="008831FE"/>
    <w:rsid w:val="008A502D"/>
    <w:rsid w:val="008B372A"/>
    <w:rsid w:val="008B7B1F"/>
    <w:rsid w:val="008E3E31"/>
    <w:rsid w:val="008F02D5"/>
    <w:rsid w:val="00925934"/>
    <w:rsid w:val="0092729C"/>
    <w:rsid w:val="00947ED7"/>
    <w:rsid w:val="0096150F"/>
    <w:rsid w:val="00974F2F"/>
    <w:rsid w:val="00995034"/>
    <w:rsid w:val="009C516A"/>
    <w:rsid w:val="009C56BB"/>
    <w:rsid w:val="009F7DE3"/>
    <w:rsid w:val="00A0593B"/>
    <w:rsid w:val="00A15548"/>
    <w:rsid w:val="00A25305"/>
    <w:rsid w:val="00A41595"/>
    <w:rsid w:val="00A54553"/>
    <w:rsid w:val="00AA1F8E"/>
    <w:rsid w:val="00AC66EA"/>
    <w:rsid w:val="00AC7968"/>
    <w:rsid w:val="00B161AA"/>
    <w:rsid w:val="00B37EF7"/>
    <w:rsid w:val="00B4154B"/>
    <w:rsid w:val="00B41709"/>
    <w:rsid w:val="00B428F5"/>
    <w:rsid w:val="00B56CB8"/>
    <w:rsid w:val="00B73C4D"/>
    <w:rsid w:val="00B77B3B"/>
    <w:rsid w:val="00B80B49"/>
    <w:rsid w:val="00B970C5"/>
    <w:rsid w:val="00BB0844"/>
    <w:rsid w:val="00BC4B6E"/>
    <w:rsid w:val="00C36C8B"/>
    <w:rsid w:val="00C45E43"/>
    <w:rsid w:val="00C7161F"/>
    <w:rsid w:val="00C90F74"/>
    <w:rsid w:val="00CA5213"/>
    <w:rsid w:val="00CE74DE"/>
    <w:rsid w:val="00CF0207"/>
    <w:rsid w:val="00CF7632"/>
    <w:rsid w:val="00D12387"/>
    <w:rsid w:val="00D16E51"/>
    <w:rsid w:val="00D30198"/>
    <w:rsid w:val="00D307F1"/>
    <w:rsid w:val="00D35243"/>
    <w:rsid w:val="00D3563C"/>
    <w:rsid w:val="00D36C4B"/>
    <w:rsid w:val="00D44E2C"/>
    <w:rsid w:val="00D53DB7"/>
    <w:rsid w:val="00D5552E"/>
    <w:rsid w:val="00D8246C"/>
    <w:rsid w:val="00DA1926"/>
    <w:rsid w:val="00DB6FAF"/>
    <w:rsid w:val="00DE3332"/>
    <w:rsid w:val="00E01210"/>
    <w:rsid w:val="00E04817"/>
    <w:rsid w:val="00E130E6"/>
    <w:rsid w:val="00E24E83"/>
    <w:rsid w:val="00E266FC"/>
    <w:rsid w:val="00E267AB"/>
    <w:rsid w:val="00E32B42"/>
    <w:rsid w:val="00E521E8"/>
    <w:rsid w:val="00E668AF"/>
    <w:rsid w:val="00E83FBF"/>
    <w:rsid w:val="00EB7033"/>
    <w:rsid w:val="00EC43B6"/>
    <w:rsid w:val="00ED2609"/>
    <w:rsid w:val="00ED369A"/>
    <w:rsid w:val="00ED57F9"/>
    <w:rsid w:val="00EE24EB"/>
    <w:rsid w:val="00EF14FD"/>
    <w:rsid w:val="00EF75D0"/>
    <w:rsid w:val="00F06E7D"/>
    <w:rsid w:val="00F1189B"/>
    <w:rsid w:val="00F165C3"/>
    <w:rsid w:val="00F21526"/>
    <w:rsid w:val="00F26592"/>
    <w:rsid w:val="00F31FA1"/>
    <w:rsid w:val="00F324EB"/>
    <w:rsid w:val="00F42E96"/>
    <w:rsid w:val="00F61978"/>
    <w:rsid w:val="00F62EFE"/>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B3D0F56-A3A0-4BB9-B21C-56BBC2A2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link w:val="BodyText2Char"/>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BodyText2Char">
    <w:name w:val="Body Text 2 Char"/>
    <w:basedOn w:val="DefaultParagraphFont"/>
    <w:link w:val="BodyText2"/>
    <w:locked/>
    <w:rsid w:val="000D110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lee@kooglerassociates.com" TargetMode="Externa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cferguson@coj.net" TargetMode="Externa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mailto:shepherd.lorinda@epa.gov" TargetMode="Externa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ichard.rachal@dep.state.fl.us" TargetMode="External"/><Relationship Id="rId22" Type="http://schemas.openxmlformats.org/officeDocument/2006/relationships/header" Target="header7.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9EAF7-992A-4EC4-95C1-6F768082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Pages>
  <Words>3100</Words>
  <Characters>17644</Characters>
  <Application>Microsoft Office Word</Application>
  <DocSecurity>0</DocSecurity>
  <Lines>315</Lines>
  <Paragraphs>180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20564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 Jonathan</cp:lastModifiedBy>
  <cp:revision>12</cp:revision>
  <cp:lastPrinted>2009-02-12T14:40:00Z</cp:lastPrinted>
  <dcterms:created xsi:type="dcterms:W3CDTF">2014-09-30T19:26:00Z</dcterms:created>
  <dcterms:modified xsi:type="dcterms:W3CDTF">2015-01-13T19:25:00Z</dcterms:modified>
</cp:coreProperties>
</file>